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D42939" w:rsidRPr="0011121B"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11121B" w:rsidRDefault="00D42939" w:rsidP="001577FB">
            <w:pPr>
              <w:ind w:left="-108"/>
              <w:rPr>
                <w:rFonts w:ascii="Arial" w:hAnsi="Arial" w:cs="Arial"/>
                <w:color w:val="4F81BD" w:themeColor="accent1"/>
                <w:lang w:val="es-MX"/>
              </w:rPr>
            </w:pPr>
            <w:r w:rsidRPr="0011121B">
              <w:rPr>
                <w:rFonts w:ascii="Arial" w:hAnsi="Arial" w:cs="Arial"/>
                <w:b/>
                <w:color w:val="4F81BD" w:themeColor="accent1"/>
                <w:lang w:val="es-MX"/>
              </w:rPr>
              <w:t xml:space="preserve">RECURSO DE REVISIÓN: </w:t>
            </w:r>
            <w:r w:rsidR="00271E4B" w:rsidRPr="0011121B">
              <w:rPr>
                <w:rFonts w:ascii="Arial" w:hAnsi="Arial" w:cs="Arial"/>
                <w:color w:val="4F81BD" w:themeColor="accent1"/>
                <w:lang w:val="es-MX"/>
              </w:rPr>
              <w:t>RR-042/2018</w:t>
            </w:r>
            <w:r w:rsidRPr="0011121B">
              <w:rPr>
                <w:rFonts w:ascii="Arial" w:hAnsi="Arial" w:cs="Arial"/>
                <w:color w:val="4F81BD" w:themeColor="accent1"/>
                <w:lang w:val="es-MX"/>
              </w:rPr>
              <w:t>-3</w:t>
            </w:r>
          </w:p>
        </w:tc>
      </w:tr>
      <w:tr w:rsidR="00D42939" w:rsidRPr="0011121B"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11121B" w:rsidRDefault="00D42939" w:rsidP="001577FB">
            <w:pPr>
              <w:ind w:left="-108"/>
              <w:rPr>
                <w:rFonts w:ascii="Arial" w:hAnsi="Arial" w:cs="Arial"/>
                <w:color w:val="4F81BD" w:themeColor="accent1"/>
                <w:lang w:val="es-MX"/>
              </w:rPr>
            </w:pPr>
            <w:r w:rsidRPr="0011121B">
              <w:rPr>
                <w:rFonts w:ascii="Arial" w:hAnsi="Arial" w:cs="Arial"/>
                <w:b/>
                <w:color w:val="4F81BD" w:themeColor="accent1"/>
                <w:lang w:val="es-MX"/>
              </w:rPr>
              <w:t>ENTE OBLIGADO:</w:t>
            </w:r>
            <w:r w:rsidRPr="0011121B">
              <w:rPr>
                <w:rFonts w:ascii="Arial" w:hAnsi="Arial" w:cs="Arial"/>
                <w:color w:val="4F81BD" w:themeColor="accent1"/>
                <w:lang w:val="es-MX"/>
              </w:rPr>
              <w:t xml:space="preserve"> PROCURADURÍA GENERAL DE JUSTICIA EN EL ESTADO</w:t>
            </w:r>
          </w:p>
        </w:tc>
      </w:tr>
      <w:tr w:rsidR="00D42939" w:rsidRPr="0011121B"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11121B" w:rsidRDefault="00D42939" w:rsidP="001577FB">
            <w:pPr>
              <w:ind w:left="-108"/>
              <w:rPr>
                <w:rFonts w:ascii="Arial" w:hAnsi="Arial" w:cs="Arial"/>
                <w:color w:val="4F81BD" w:themeColor="accent1"/>
                <w:lang w:val="es-MX"/>
              </w:rPr>
            </w:pPr>
            <w:r w:rsidRPr="0011121B">
              <w:rPr>
                <w:rFonts w:ascii="Arial" w:hAnsi="Arial" w:cs="Arial"/>
                <w:b/>
                <w:color w:val="4F81BD" w:themeColor="accent1"/>
                <w:lang w:val="es-MX"/>
              </w:rPr>
              <w:t xml:space="preserve">COMISIONADO PONENTE: </w:t>
            </w:r>
            <w:r w:rsidRPr="0011121B">
              <w:rPr>
                <w:rFonts w:ascii="Arial" w:hAnsi="Arial" w:cs="Arial"/>
                <w:color w:val="4F81BD" w:themeColor="accent1"/>
                <w:lang w:val="es-MX"/>
              </w:rPr>
              <w:t>CLAUDIA ELIZABETH ÁVALOS CEDILLO</w:t>
            </w:r>
          </w:p>
        </w:tc>
      </w:tr>
    </w:tbl>
    <w:p w:rsidR="00D42939" w:rsidRPr="0011121B" w:rsidRDefault="00D42939" w:rsidP="00D42939">
      <w:pPr>
        <w:jc w:val="right"/>
        <w:rPr>
          <w:rFonts w:ascii="Arial" w:hAnsi="Arial" w:cs="Arial"/>
          <w:b/>
          <w:color w:val="4F81BD" w:themeColor="accent1"/>
          <w:lang w:val="es-MX"/>
        </w:rPr>
      </w:pPr>
    </w:p>
    <w:p w:rsidR="00D42939" w:rsidRPr="0011121B" w:rsidRDefault="00D42939" w:rsidP="00D42939">
      <w:pPr>
        <w:pStyle w:val="Textoindependienteprimerasangra"/>
        <w:spacing w:after="0"/>
        <w:ind w:firstLine="0"/>
        <w:rPr>
          <w:rFonts w:ascii="Arial" w:eastAsia="Arial Unicode MS" w:hAnsi="Arial" w:cs="Arial"/>
          <w:color w:val="4F81BD" w:themeColor="accent1"/>
          <w:szCs w:val="26"/>
          <w:lang w:val="es-MX"/>
        </w:rPr>
      </w:pPr>
      <w:r w:rsidRPr="0011121B">
        <w:rPr>
          <w:rFonts w:ascii="Arial" w:hAnsi="Arial" w:cs="Arial"/>
          <w:b/>
          <w:color w:val="4F81BD" w:themeColor="accent1"/>
          <w:lang w:val="es-MX"/>
        </w:rPr>
        <w:tab/>
      </w:r>
      <w:r w:rsidRPr="0011121B">
        <w:rPr>
          <w:rFonts w:ascii="Arial" w:eastAsia="Arial Unicode MS" w:hAnsi="Arial" w:cs="Arial"/>
          <w:color w:val="4F81BD" w:themeColor="accent1"/>
          <w:szCs w:val="26"/>
          <w:lang w:val="es-MX"/>
        </w:rPr>
        <w:t xml:space="preserve">San Luis Potosí, San Luis Potosí, siete de </w:t>
      </w:r>
      <w:r w:rsidR="00271E4B" w:rsidRPr="0011121B">
        <w:rPr>
          <w:rFonts w:ascii="Arial" w:eastAsia="Arial Unicode MS" w:hAnsi="Arial" w:cs="Arial"/>
          <w:color w:val="4F81BD" w:themeColor="accent1"/>
          <w:szCs w:val="26"/>
          <w:lang w:val="es-MX"/>
        </w:rPr>
        <w:t>marzo de dos mil dieciocho</w:t>
      </w:r>
      <w:r w:rsidRPr="0011121B">
        <w:rPr>
          <w:rFonts w:ascii="Arial" w:eastAsia="Arial Unicode MS" w:hAnsi="Arial" w:cs="Arial"/>
          <w:color w:val="4F81BD" w:themeColor="accent1"/>
          <w:szCs w:val="26"/>
          <w:lang w:val="es-MX"/>
        </w:rPr>
        <w:t>.</w:t>
      </w:r>
    </w:p>
    <w:p w:rsidR="00D42939" w:rsidRPr="0011121B" w:rsidRDefault="00D42939" w:rsidP="00D42939">
      <w:pPr>
        <w:pStyle w:val="Textoindependienteprimerasangra"/>
        <w:spacing w:before="240" w:after="0"/>
        <w:ind w:firstLine="0"/>
        <w:rPr>
          <w:rFonts w:ascii="Arial" w:eastAsia="Arial Unicode MS" w:hAnsi="Arial" w:cs="Arial"/>
          <w:color w:val="4F81BD" w:themeColor="accent1"/>
          <w:szCs w:val="26"/>
          <w:lang w:val="es-MX"/>
        </w:rPr>
      </w:pPr>
      <w:r w:rsidRPr="0011121B">
        <w:rPr>
          <w:rFonts w:ascii="Arial" w:eastAsia="Arial Unicode MS" w:hAnsi="Arial" w:cs="Arial"/>
          <w:color w:val="4F81BD" w:themeColor="accent1"/>
          <w:szCs w:val="26"/>
          <w:lang w:val="es-MX"/>
        </w:rPr>
        <w:tab/>
      </w:r>
      <w:r w:rsidRPr="0011121B">
        <w:rPr>
          <w:rFonts w:ascii="Arial" w:eastAsia="Arial Unicode MS" w:hAnsi="Arial" w:cs="Arial"/>
          <w:b/>
          <w:color w:val="4F81BD" w:themeColor="accent1"/>
          <w:szCs w:val="26"/>
          <w:lang w:val="es-MX"/>
        </w:rPr>
        <w:t>VISTOS</w:t>
      </w:r>
      <w:r w:rsidRPr="0011121B">
        <w:rPr>
          <w:rFonts w:ascii="Arial" w:eastAsia="Arial Unicode MS" w:hAnsi="Arial" w:cs="Arial"/>
          <w:color w:val="4F81BD" w:themeColor="accent1"/>
          <w:szCs w:val="26"/>
          <w:lang w:val="es-MX"/>
        </w:rPr>
        <w:t xml:space="preserve"> para resolver los autos que conforman el expediente </w:t>
      </w:r>
      <w:r w:rsidR="00271E4B" w:rsidRPr="0011121B">
        <w:rPr>
          <w:rFonts w:ascii="Arial" w:hAnsi="Arial" w:cs="Arial"/>
          <w:b/>
          <w:color w:val="4F81BD" w:themeColor="accent1"/>
          <w:lang w:val="es-MX"/>
        </w:rPr>
        <w:t>042</w:t>
      </w:r>
      <w:r w:rsidRPr="0011121B">
        <w:rPr>
          <w:rFonts w:ascii="Arial" w:hAnsi="Arial" w:cs="Arial"/>
          <w:b/>
          <w:color w:val="4F81BD" w:themeColor="accent1"/>
          <w:lang w:val="es-MX"/>
        </w:rPr>
        <w:t xml:space="preserve">/2017-3 </w:t>
      </w:r>
      <w:r w:rsidRPr="0011121B">
        <w:rPr>
          <w:rFonts w:ascii="Arial" w:eastAsia="Arial Unicode MS" w:hAnsi="Arial" w:cs="Arial"/>
          <w:color w:val="4F81BD" w:themeColor="accent1"/>
          <w:szCs w:val="26"/>
          <w:lang w:val="es-MX"/>
        </w:rPr>
        <w:t xml:space="preserve">del índice de esta comisión, relativo al </w:t>
      </w:r>
      <w:r w:rsidRPr="0011121B">
        <w:rPr>
          <w:rFonts w:ascii="Arial" w:eastAsia="Arial Unicode MS" w:hAnsi="Arial" w:cs="Arial"/>
          <w:b/>
          <w:color w:val="4F81BD" w:themeColor="accent1"/>
          <w:szCs w:val="26"/>
          <w:lang w:val="es-MX"/>
        </w:rPr>
        <w:t>recurso de revisión</w:t>
      </w:r>
      <w:r w:rsidRPr="0011121B">
        <w:rPr>
          <w:rFonts w:ascii="Arial" w:eastAsia="Arial Unicode MS" w:hAnsi="Arial" w:cs="Arial"/>
          <w:color w:val="4F81BD" w:themeColor="accent1"/>
          <w:szCs w:val="26"/>
          <w:lang w:val="es-MX"/>
        </w:rPr>
        <w:t xml:space="preserve">, interpuesto contra la respuesta emitida por la </w:t>
      </w:r>
      <w:r w:rsidRPr="0011121B">
        <w:rPr>
          <w:rFonts w:ascii="Arial" w:hAnsi="Arial" w:cs="Arial"/>
          <w:b/>
          <w:color w:val="4F81BD" w:themeColor="accent1"/>
          <w:lang w:val="es-MX"/>
        </w:rPr>
        <w:t>PROCURADURÍA GENERAL DE JUSTICIA EN EL ESTADO</w:t>
      </w:r>
      <w:r w:rsidRPr="0011121B">
        <w:rPr>
          <w:rFonts w:ascii="Arial" w:eastAsia="Arial Unicode MS" w:hAnsi="Arial" w:cs="Arial"/>
          <w:b/>
          <w:color w:val="4F81BD" w:themeColor="accent1"/>
          <w:szCs w:val="26"/>
          <w:lang w:val="es-MX"/>
        </w:rPr>
        <w:t xml:space="preserve">, </w:t>
      </w:r>
      <w:r w:rsidRPr="0011121B">
        <w:rPr>
          <w:rFonts w:ascii="Arial" w:eastAsia="Arial Unicode MS" w:hAnsi="Arial" w:cs="Arial"/>
          <w:color w:val="4F81BD" w:themeColor="accent1"/>
          <w:szCs w:val="26"/>
          <w:lang w:val="es-MX"/>
        </w:rPr>
        <w:t>y</w:t>
      </w:r>
    </w:p>
    <w:p w:rsidR="00D42939" w:rsidRPr="0011121B" w:rsidRDefault="00D42939" w:rsidP="00D42939">
      <w:pPr>
        <w:pStyle w:val="Textoindependienteprimerasangra"/>
        <w:spacing w:before="240"/>
        <w:ind w:firstLine="900"/>
        <w:jc w:val="center"/>
        <w:rPr>
          <w:rFonts w:ascii="Arial" w:eastAsia="Arial Unicode MS" w:hAnsi="Arial" w:cs="Arial"/>
          <w:b/>
          <w:color w:val="4F81BD" w:themeColor="accent1"/>
          <w:szCs w:val="26"/>
          <w:lang w:val="es-MX"/>
        </w:rPr>
      </w:pPr>
      <w:r w:rsidRPr="0011121B">
        <w:rPr>
          <w:rFonts w:ascii="Arial" w:eastAsia="Arial Unicode MS" w:hAnsi="Arial" w:cs="Arial"/>
          <w:b/>
          <w:color w:val="4F81BD" w:themeColor="accent1"/>
          <w:szCs w:val="26"/>
          <w:lang w:val="es-MX"/>
        </w:rPr>
        <w:t>A N T E C E D E N T E S:</w:t>
      </w:r>
    </w:p>
    <w:p w:rsidR="00D42939" w:rsidRPr="0011121B" w:rsidRDefault="00D42939" w:rsidP="00D42939">
      <w:pPr>
        <w:pStyle w:val="Textoindependienteprimerasangra"/>
        <w:spacing w:before="240"/>
        <w:ind w:firstLine="0"/>
        <w:rPr>
          <w:rFonts w:ascii="Arial" w:eastAsia="Arial Unicode MS" w:hAnsi="Arial" w:cs="Arial"/>
          <w:b/>
          <w:color w:val="4F81BD" w:themeColor="accent1"/>
          <w:szCs w:val="26"/>
          <w:lang w:val="es-MX"/>
        </w:rPr>
      </w:pPr>
      <w:r w:rsidRPr="0011121B">
        <w:rPr>
          <w:rFonts w:ascii="Arial" w:eastAsia="Arial Unicode MS" w:hAnsi="Arial" w:cs="Arial"/>
          <w:b/>
          <w:color w:val="4F81BD" w:themeColor="accent1"/>
          <w:szCs w:val="26"/>
          <w:lang w:val="es-MX"/>
        </w:rPr>
        <w:tab/>
        <w:t xml:space="preserve">PRIMERO. Solicitud de Información. </w:t>
      </w:r>
      <w:r w:rsidRPr="0011121B">
        <w:rPr>
          <w:rFonts w:ascii="Arial" w:eastAsia="Arial Unicode MS" w:hAnsi="Arial" w:cs="Arial"/>
          <w:color w:val="4F81BD" w:themeColor="accent1"/>
          <w:szCs w:val="26"/>
          <w:lang w:val="es-MX"/>
        </w:rPr>
        <w:t xml:space="preserve">El </w:t>
      </w:r>
      <w:r w:rsidR="00271E4B" w:rsidRPr="0011121B">
        <w:rPr>
          <w:rFonts w:ascii="Arial" w:eastAsia="Arial Unicode MS" w:hAnsi="Arial" w:cs="Arial"/>
          <w:color w:val="4F81BD" w:themeColor="accent1"/>
          <w:szCs w:val="26"/>
          <w:lang w:val="es-MX"/>
        </w:rPr>
        <w:t xml:space="preserve">diez de diciembre de </w:t>
      </w:r>
      <w:r w:rsidRPr="0011121B">
        <w:rPr>
          <w:rFonts w:ascii="Arial" w:eastAsia="Arial Unicode MS" w:hAnsi="Arial" w:cs="Arial"/>
          <w:color w:val="4F81BD" w:themeColor="accent1"/>
          <w:szCs w:val="26"/>
          <w:lang w:val="es-MX"/>
        </w:rPr>
        <w:t xml:space="preserve">dos mil diecisiete, </w:t>
      </w:r>
      <w:r w:rsidRPr="0011121B">
        <w:rPr>
          <w:rFonts w:ascii="Arial" w:hAnsi="Arial" w:cs="Arial"/>
          <w:color w:val="4F81BD" w:themeColor="accent1"/>
          <w:lang w:val="es-MX"/>
        </w:rPr>
        <w:t>se</w:t>
      </w:r>
      <w:r w:rsidRPr="0011121B">
        <w:rPr>
          <w:rFonts w:ascii="Arial" w:eastAsia="Arial Unicode MS" w:hAnsi="Arial" w:cs="Arial"/>
          <w:color w:val="4F81BD" w:themeColor="accent1"/>
          <w:szCs w:val="26"/>
          <w:lang w:val="es-MX"/>
        </w:rPr>
        <w:t xml:space="preserve"> presentó a través de la Plataforma Nacional de Transparencia una solicitud de información a la </w:t>
      </w:r>
      <w:r w:rsidRPr="0011121B">
        <w:rPr>
          <w:rFonts w:ascii="Arial" w:hAnsi="Arial" w:cs="Arial"/>
          <w:b/>
          <w:color w:val="4F81BD" w:themeColor="accent1"/>
          <w:lang w:val="es-MX"/>
        </w:rPr>
        <w:t>PROCURADURÍA GENERAL DE JUSTICIA EN EL ESTADO</w:t>
      </w:r>
      <w:r w:rsidRPr="0011121B">
        <w:rPr>
          <w:rFonts w:ascii="Arial" w:eastAsia="Arial Unicode MS" w:hAnsi="Arial" w:cs="Arial"/>
          <w:b/>
          <w:color w:val="4F81BD" w:themeColor="accent1"/>
          <w:szCs w:val="26"/>
          <w:lang w:val="es-MX"/>
        </w:rPr>
        <w:t xml:space="preserve">, </w:t>
      </w:r>
      <w:r w:rsidRPr="0011121B">
        <w:rPr>
          <w:rFonts w:ascii="Arial" w:eastAsia="Arial Unicode MS" w:hAnsi="Arial" w:cs="Arial"/>
          <w:color w:val="4F81BD" w:themeColor="accent1"/>
          <w:szCs w:val="26"/>
          <w:lang w:val="es-MX"/>
        </w:rPr>
        <w:t>a la cual se le asignó el núm</w:t>
      </w:r>
      <w:r w:rsidR="00271E4B" w:rsidRPr="0011121B">
        <w:rPr>
          <w:rFonts w:ascii="Arial" w:eastAsia="Arial Unicode MS" w:hAnsi="Arial" w:cs="Arial"/>
          <w:color w:val="4F81BD" w:themeColor="accent1"/>
          <w:szCs w:val="26"/>
          <w:lang w:val="es-MX"/>
        </w:rPr>
        <w:t>ero de folio 00850817</w:t>
      </w:r>
      <w:r w:rsidRPr="0011121B">
        <w:rPr>
          <w:rFonts w:ascii="Arial" w:eastAsia="Arial Unicode MS" w:hAnsi="Arial" w:cs="Arial"/>
          <w:color w:val="4F81BD" w:themeColor="accent1"/>
          <w:szCs w:val="26"/>
          <w:lang w:val="es-MX"/>
        </w:rPr>
        <w:t>, y consistió la petición del solicitante en lo siguiente:</w:t>
      </w:r>
      <w:r w:rsidRPr="0011121B">
        <w:rPr>
          <w:rFonts w:ascii="Arial" w:eastAsia="Arial Unicode MS" w:hAnsi="Arial" w:cs="Arial"/>
          <w:b/>
          <w:color w:val="4F81BD" w:themeColor="accent1"/>
          <w:szCs w:val="26"/>
          <w:lang w:val="es-MX"/>
        </w:rPr>
        <w:t xml:space="preserve"> </w:t>
      </w:r>
    </w:p>
    <w:p w:rsidR="00271E4B" w:rsidRPr="0011121B" w:rsidRDefault="00D42939" w:rsidP="00271E4B">
      <w:pPr>
        <w:pStyle w:val="Textoindependienteprimerasangra"/>
        <w:spacing w:line="240" w:lineRule="auto"/>
        <w:ind w:left="851" w:firstLine="900"/>
        <w:rPr>
          <w:rFonts w:ascii="Arial" w:eastAsia="Arial Unicode MS" w:hAnsi="Arial" w:cs="Arial"/>
          <w:i/>
          <w:color w:val="4F81BD" w:themeColor="accent1"/>
          <w:sz w:val="22"/>
          <w:szCs w:val="22"/>
          <w:lang w:val="es-MX"/>
        </w:rPr>
      </w:pPr>
      <w:r w:rsidRPr="0011121B">
        <w:rPr>
          <w:rFonts w:ascii="Arial" w:eastAsia="Arial Unicode MS" w:hAnsi="Arial" w:cs="Arial"/>
          <w:i/>
          <w:color w:val="4F81BD" w:themeColor="accent1"/>
          <w:sz w:val="22"/>
          <w:szCs w:val="22"/>
          <w:lang w:val="es-MX"/>
        </w:rPr>
        <w:t>“</w:t>
      </w:r>
      <w:r w:rsidR="00271E4B" w:rsidRPr="0011121B">
        <w:rPr>
          <w:rFonts w:ascii="Arial" w:eastAsia="Arial Unicode MS" w:hAnsi="Arial" w:cs="Arial"/>
          <w:i/>
          <w:color w:val="4F81BD" w:themeColor="accent1"/>
          <w:sz w:val="22"/>
          <w:szCs w:val="22"/>
          <w:lang w:val="es-MX"/>
        </w:rPr>
        <w:t>Solicito:</w:t>
      </w:r>
    </w:p>
    <w:p w:rsidR="00271E4B" w:rsidRPr="0011121B" w:rsidRDefault="00271E4B" w:rsidP="00271E4B">
      <w:pPr>
        <w:pStyle w:val="Textoindependienteprimerasangra"/>
        <w:spacing w:line="240" w:lineRule="auto"/>
        <w:ind w:left="851" w:firstLine="900"/>
        <w:rPr>
          <w:rFonts w:ascii="Arial" w:eastAsia="Arial Unicode MS" w:hAnsi="Arial" w:cs="Arial"/>
          <w:i/>
          <w:color w:val="4F81BD" w:themeColor="accent1"/>
          <w:sz w:val="22"/>
          <w:szCs w:val="22"/>
          <w:lang w:val="es-MX"/>
        </w:rPr>
      </w:pPr>
      <w:r w:rsidRPr="0011121B">
        <w:rPr>
          <w:rFonts w:ascii="Arial" w:eastAsia="Arial Unicode MS" w:hAnsi="Arial" w:cs="Arial"/>
          <w:i/>
          <w:color w:val="4F81BD" w:themeColor="accent1"/>
          <w:sz w:val="22"/>
          <w:szCs w:val="22"/>
          <w:lang w:val="es-MX"/>
        </w:rPr>
        <w:t>1.- Número de víctimas de homicidio doloso en el año 2011 en el estado.</w:t>
      </w:r>
    </w:p>
    <w:p w:rsidR="00271E4B" w:rsidRPr="0011121B" w:rsidRDefault="00271E4B" w:rsidP="00271E4B">
      <w:pPr>
        <w:pStyle w:val="Textoindependienteprimerasangra"/>
        <w:spacing w:line="240" w:lineRule="auto"/>
        <w:ind w:left="851" w:firstLine="900"/>
        <w:rPr>
          <w:rFonts w:ascii="Arial" w:eastAsia="Arial Unicode MS" w:hAnsi="Arial" w:cs="Arial"/>
          <w:i/>
          <w:color w:val="4F81BD" w:themeColor="accent1"/>
          <w:sz w:val="22"/>
          <w:szCs w:val="22"/>
          <w:lang w:val="es-MX"/>
        </w:rPr>
      </w:pPr>
      <w:r w:rsidRPr="0011121B">
        <w:rPr>
          <w:rFonts w:ascii="Arial" w:eastAsia="Arial Unicode MS" w:hAnsi="Arial" w:cs="Arial"/>
          <w:i/>
          <w:color w:val="4F81BD" w:themeColor="accent1"/>
          <w:sz w:val="22"/>
          <w:szCs w:val="22"/>
          <w:lang w:val="es-MX"/>
        </w:rPr>
        <w:t>2.- Número de averiguaciones previas y/o carpeta de investigación iniciadas por el delito de homicidio doloso en el año 2011 en el estado.</w:t>
      </w:r>
    </w:p>
    <w:p w:rsidR="00271E4B" w:rsidRPr="0011121B" w:rsidRDefault="00271E4B" w:rsidP="00271E4B">
      <w:pPr>
        <w:pStyle w:val="Textoindependienteprimerasangra"/>
        <w:spacing w:line="240" w:lineRule="auto"/>
        <w:ind w:left="851" w:firstLine="900"/>
        <w:rPr>
          <w:rFonts w:ascii="Arial" w:eastAsia="Arial Unicode MS" w:hAnsi="Arial" w:cs="Arial"/>
          <w:i/>
          <w:color w:val="4F81BD" w:themeColor="accent1"/>
          <w:sz w:val="22"/>
          <w:szCs w:val="22"/>
          <w:lang w:val="es-MX"/>
        </w:rPr>
      </w:pPr>
      <w:r w:rsidRPr="0011121B">
        <w:rPr>
          <w:rFonts w:ascii="Arial" w:eastAsia="Arial Unicode MS" w:hAnsi="Arial" w:cs="Arial"/>
          <w:i/>
          <w:color w:val="4F81BD" w:themeColor="accent1"/>
          <w:sz w:val="22"/>
          <w:szCs w:val="22"/>
          <w:lang w:val="es-MX"/>
        </w:rPr>
        <w:t xml:space="preserve">3.- Número de víctimas de </w:t>
      </w:r>
      <w:proofErr w:type="spellStart"/>
      <w:r w:rsidRPr="0011121B">
        <w:rPr>
          <w:rFonts w:ascii="Arial" w:eastAsia="Arial Unicode MS" w:hAnsi="Arial" w:cs="Arial"/>
          <w:i/>
          <w:color w:val="4F81BD" w:themeColor="accent1"/>
          <w:sz w:val="22"/>
          <w:szCs w:val="22"/>
          <w:lang w:val="es-MX"/>
        </w:rPr>
        <w:t>feminicidio</w:t>
      </w:r>
      <w:proofErr w:type="spellEnd"/>
      <w:r w:rsidRPr="0011121B">
        <w:rPr>
          <w:rFonts w:ascii="Arial" w:eastAsia="Arial Unicode MS" w:hAnsi="Arial" w:cs="Arial"/>
          <w:i/>
          <w:color w:val="4F81BD" w:themeColor="accent1"/>
          <w:sz w:val="22"/>
          <w:szCs w:val="22"/>
          <w:lang w:val="es-MX"/>
        </w:rPr>
        <w:t xml:space="preserve"> en el año 2011 en el estado.</w:t>
      </w:r>
    </w:p>
    <w:p w:rsidR="00D42939" w:rsidRPr="0011121B" w:rsidRDefault="00271E4B" w:rsidP="00271E4B">
      <w:pPr>
        <w:pStyle w:val="Textoindependienteprimerasangra"/>
        <w:spacing w:after="0" w:line="240" w:lineRule="auto"/>
        <w:ind w:left="851" w:firstLine="900"/>
        <w:rPr>
          <w:rFonts w:ascii="Arial" w:eastAsia="Arial Unicode MS" w:hAnsi="Arial" w:cs="Arial"/>
          <w:i/>
          <w:color w:val="4F81BD" w:themeColor="accent1"/>
          <w:sz w:val="22"/>
          <w:szCs w:val="22"/>
          <w:lang w:val="es-MX"/>
        </w:rPr>
      </w:pPr>
      <w:r w:rsidRPr="0011121B">
        <w:rPr>
          <w:rFonts w:ascii="Arial" w:eastAsia="Arial Unicode MS" w:hAnsi="Arial" w:cs="Arial"/>
          <w:i/>
          <w:color w:val="4F81BD" w:themeColor="accent1"/>
          <w:sz w:val="22"/>
          <w:szCs w:val="22"/>
          <w:lang w:val="es-MX"/>
        </w:rPr>
        <w:t>4.- Número de averiguaciones previas y/o carpetas de investigación iniciadas por el delito de homicidio doloso en el año 2011 en el estado</w:t>
      </w:r>
      <w:r w:rsidR="00D42939" w:rsidRPr="0011121B">
        <w:rPr>
          <w:rFonts w:ascii="Arial" w:eastAsia="Arial Unicode MS" w:hAnsi="Arial" w:cs="Arial"/>
          <w:i/>
          <w:color w:val="4F81BD" w:themeColor="accent1"/>
          <w:sz w:val="22"/>
          <w:szCs w:val="22"/>
          <w:lang w:val="es-MX"/>
        </w:rPr>
        <w:t>”.</w:t>
      </w:r>
    </w:p>
    <w:p w:rsidR="00D42939" w:rsidRPr="0011121B" w:rsidRDefault="00D42939" w:rsidP="00D42939">
      <w:pPr>
        <w:spacing w:before="240"/>
        <w:ind w:firstLine="708"/>
        <w:rPr>
          <w:rFonts w:ascii="Arial" w:hAnsi="Arial" w:cs="Arial"/>
          <w:color w:val="4F81BD" w:themeColor="accent1"/>
        </w:rPr>
      </w:pPr>
      <w:r w:rsidRPr="0011121B">
        <w:rPr>
          <w:rFonts w:ascii="Arial" w:eastAsia="Arial Unicode MS" w:hAnsi="Arial" w:cs="Arial"/>
          <w:b/>
          <w:color w:val="4F81BD" w:themeColor="accent1"/>
        </w:rPr>
        <w:t xml:space="preserve">SEGUNDO. </w:t>
      </w:r>
      <w:r w:rsidRPr="0011121B">
        <w:rPr>
          <w:rFonts w:ascii="Arial" w:hAnsi="Arial" w:cs="Arial"/>
          <w:b/>
          <w:color w:val="4F81BD" w:themeColor="accent1"/>
        </w:rPr>
        <w:t xml:space="preserve">Respuesta del sujeto obligado. </w:t>
      </w:r>
      <w:r w:rsidRPr="0011121B">
        <w:rPr>
          <w:rFonts w:ascii="Arial" w:hAnsi="Arial" w:cs="Arial"/>
          <w:color w:val="4F81BD" w:themeColor="accent1"/>
        </w:rPr>
        <w:t>El once de julio de dos mil diecisiete, el sujeto obligado dio respuesta al solicitante a través de la Plataforma, y expresó:</w:t>
      </w:r>
    </w:p>
    <w:p w:rsidR="00D42939" w:rsidRPr="0011121B" w:rsidRDefault="00D42939" w:rsidP="00D42939">
      <w:pPr>
        <w:spacing w:line="240" w:lineRule="auto"/>
        <w:ind w:left="709" w:hanging="1"/>
        <w:rPr>
          <w:rFonts w:ascii="Arial" w:hAnsi="Arial" w:cs="Arial"/>
          <w:i/>
          <w:color w:val="4F81BD" w:themeColor="accent1"/>
          <w:sz w:val="22"/>
          <w:szCs w:val="22"/>
        </w:rPr>
      </w:pPr>
      <w:r w:rsidRPr="0011121B">
        <w:rPr>
          <w:rFonts w:ascii="Arial" w:hAnsi="Arial" w:cs="Arial"/>
          <w:color w:val="4F81BD" w:themeColor="accent1"/>
          <w:sz w:val="22"/>
          <w:szCs w:val="22"/>
        </w:rPr>
        <w:tab/>
      </w:r>
      <w:r w:rsidRPr="0011121B">
        <w:rPr>
          <w:rFonts w:ascii="Arial" w:hAnsi="Arial" w:cs="Arial"/>
          <w:color w:val="4F81BD" w:themeColor="accent1"/>
          <w:sz w:val="22"/>
          <w:szCs w:val="22"/>
        </w:rPr>
        <w:tab/>
      </w:r>
      <w:r w:rsidRPr="0011121B">
        <w:rPr>
          <w:rFonts w:ascii="Arial" w:hAnsi="Arial" w:cs="Arial"/>
          <w:i/>
          <w:color w:val="4F81BD" w:themeColor="accent1"/>
          <w:sz w:val="22"/>
          <w:szCs w:val="22"/>
        </w:rPr>
        <w:t>“(…)</w:t>
      </w:r>
    </w:p>
    <w:p w:rsidR="00D42939" w:rsidRPr="0011121B" w:rsidRDefault="00D42939" w:rsidP="00D42939">
      <w:pPr>
        <w:spacing w:line="240" w:lineRule="auto"/>
        <w:ind w:left="709" w:hanging="1"/>
        <w:rPr>
          <w:rFonts w:ascii="Arial" w:hAnsi="Arial" w:cs="Arial"/>
          <w:i/>
          <w:color w:val="4F81BD" w:themeColor="accent1"/>
          <w:sz w:val="22"/>
          <w:szCs w:val="22"/>
        </w:rPr>
      </w:pPr>
      <w:r w:rsidRPr="0011121B">
        <w:rPr>
          <w:rFonts w:ascii="Arial" w:hAnsi="Arial" w:cs="Arial"/>
          <w:i/>
          <w:color w:val="4F81BD" w:themeColor="accent1"/>
          <w:sz w:val="22"/>
          <w:szCs w:val="22"/>
        </w:rPr>
        <w:tab/>
      </w:r>
      <w:r w:rsidRPr="0011121B">
        <w:rPr>
          <w:rFonts w:ascii="Arial" w:hAnsi="Arial" w:cs="Arial"/>
          <w:i/>
          <w:color w:val="4F81BD" w:themeColor="accent1"/>
          <w:sz w:val="22"/>
          <w:szCs w:val="22"/>
        </w:rPr>
        <w:tab/>
      </w:r>
      <w:r w:rsidR="00271E4B" w:rsidRPr="0011121B">
        <w:rPr>
          <w:rFonts w:ascii="Arial" w:hAnsi="Arial" w:cs="Arial"/>
          <w:i/>
          <w:color w:val="4F81BD" w:themeColor="accent1"/>
          <w:sz w:val="22"/>
          <w:szCs w:val="22"/>
        </w:rPr>
        <w:t>SE ANEXA VÍA ELECTRÓNICA RESPUESTA A SU SOLICITUD DE INFORMACIÓN REALIZADA VÍA INFOMEX CON NÚMERO DE FOLIO 00850817.</w:t>
      </w:r>
      <w:r w:rsidRPr="0011121B">
        <w:rPr>
          <w:rFonts w:ascii="Arial" w:hAnsi="Arial" w:cs="Arial"/>
          <w:i/>
          <w:color w:val="4F81BD" w:themeColor="accent1"/>
          <w:sz w:val="22"/>
          <w:szCs w:val="22"/>
        </w:rPr>
        <w:t>”.</w:t>
      </w:r>
    </w:p>
    <w:p w:rsidR="00D42939" w:rsidRPr="0011121B" w:rsidRDefault="00D42939" w:rsidP="00D42939">
      <w:pPr>
        <w:spacing w:line="240" w:lineRule="auto"/>
        <w:ind w:left="709" w:hanging="1"/>
        <w:rPr>
          <w:rFonts w:ascii="Arial" w:hAnsi="Arial" w:cs="Arial"/>
          <w:i/>
          <w:color w:val="4F81BD" w:themeColor="accent1"/>
          <w:sz w:val="22"/>
          <w:szCs w:val="22"/>
        </w:rPr>
      </w:pPr>
    </w:p>
    <w:p w:rsidR="00D42939" w:rsidRPr="0011121B" w:rsidRDefault="00F15ADB" w:rsidP="00DF2FB1">
      <w:pPr>
        <w:jc w:val="center"/>
        <w:rPr>
          <w:rFonts w:ascii="Arial" w:hAnsi="Arial" w:cs="Arial"/>
          <w:color w:val="4F81BD" w:themeColor="accent1"/>
        </w:rPr>
      </w:pPr>
      <w:r>
        <w:rPr>
          <w:rFonts w:ascii="Arial" w:hAnsi="Arial" w:cs="Arial"/>
          <w:noProof/>
          <w:color w:val="4F81BD" w:themeColor="accent1"/>
          <w:lang w:val="es-MX" w:eastAsia="es-MX"/>
        </w:rPr>
        <w:lastRenderedPageBreak/>
        <w:pict>
          <v:shapetype id="_x0000_t202" coordsize="21600,21600" o:spt="202" path="m,l,21600r21600,l21600,xe">
            <v:stroke joinstyle="miter"/>
            <v:path gradientshapeok="t" o:connecttype="rect"/>
          </v:shapetype>
          <v:shape id="_x0000_s1026" type="#_x0000_t202" style="position:absolute;left:0;text-align:left;margin-left:160.25pt;margin-top:202.75pt;width:81pt;height:7.15pt;z-index:251658240" fillcolor="white [3212]" stroked="f">
            <v:textbox>
              <w:txbxContent>
                <w:p w:rsidR="00DF2FB1" w:rsidRDefault="00DF2FB1"/>
              </w:txbxContent>
            </v:textbox>
          </v:shape>
        </w:pict>
      </w:r>
      <w:r w:rsidR="00271E4B" w:rsidRPr="0011121B">
        <w:rPr>
          <w:rFonts w:ascii="Arial" w:hAnsi="Arial" w:cs="Arial"/>
          <w:noProof/>
          <w:color w:val="4F81BD" w:themeColor="accent1"/>
          <w:lang w:val="es-MX" w:eastAsia="es-MX"/>
        </w:rPr>
        <w:drawing>
          <wp:inline distT="0" distB="0" distL="0" distR="0">
            <wp:extent cx="3016792" cy="355854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28561" t="8728" r="31618" b="7731"/>
                    <a:stretch>
                      <a:fillRect/>
                    </a:stretch>
                  </pic:blipFill>
                  <pic:spPr bwMode="auto">
                    <a:xfrm>
                      <a:off x="0" y="0"/>
                      <a:ext cx="3016792" cy="3558540"/>
                    </a:xfrm>
                    <a:prstGeom prst="rect">
                      <a:avLst/>
                    </a:prstGeom>
                    <a:noFill/>
                    <a:ln w="9525">
                      <a:noFill/>
                      <a:miter lim="800000"/>
                      <a:headEnd/>
                      <a:tailEnd/>
                    </a:ln>
                  </pic:spPr>
                </pic:pic>
              </a:graphicData>
            </a:graphic>
          </wp:inline>
        </w:drawing>
      </w:r>
    </w:p>
    <w:p w:rsidR="00DF2FB1" w:rsidRPr="0011121B" w:rsidRDefault="00DF2FB1" w:rsidP="00DF2FB1">
      <w:pPr>
        <w:pStyle w:val="Textoindependienteprimerasangra"/>
        <w:spacing w:after="0"/>
        <w:ind w:firstLine="708"/>
        <w:jc w:val="center"/>
        <w:rPr>
          <w:rFonts w:ascii="Arial" w:hAnsi="Arial" w:cs="Arial"/>
          <w:b/>
          <w:color w:val="4F81BD" w:themeColor="accent1"/>
          <w:szCs w:val="26"/>
        </w:rPr>
      </w:pPr>
      <w:r w:rsidRPr="0011121B">
        <w:rPr>
          <w:rFonts w:ascii="Arial" w:hAnsi="Arial" w:cs="Arial"/>
          <w:b/>
          <w:noProof/>
          <w:color w:val="4F81BD" w:themeColor="accent1"/>
          <w:szCs w:val="26"/>
          <w:lang w:val="es-MX" w:eastAsia="es-MX"/>
        </w:rPr>
        <w:drawing>
          <wp:inline distT="0" distB="0" distL="0" distR="0">
            <wp:extent cx="1668780" cy="2913262"/>
            <wp:effectExtent l="647700" t="0" r="6172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28561" t="46883" r="51388" b="13217"/>
                    <a:stretch>
                      <a:fillRect/>
                    </a:stretch>
                  </pic:blipFill>
                  <pic:spPr bwMode="auto">
                    <a:xfrm rot="5400000">
                      <a:off x="0" y="0"/>
                      <a:ext cx="1672590" cy="2919913"/>
                    </a:xfrm>
                    <a:prstGeom prst="rect">
                      <a:avLst/>
                    </a:prstGeom>
                    <a:noFill/>
                    <a:ln w="9525">
                      <a:noFill/>
                      <a:miter lim="800000"/>
                      <a:headEnd/>
                      <a:tailEnd/>
                    </a:ln>
                  </pic:spPr>
                </pic:pic>
              </a:graphicData>
            </a:graphic>
          </wp:inline>
        </w:drawing>
      </w:r>
    </w:p>
    <w:p w:rsidR="00D42939" w:rsidRPr="0011121B" w:rsidRDefault="00D42939" w:rsidP="00D42939">
      <w:pPr>
        <w:pStyle w:val="Textoindependienteprimerasangra"/>
        <w:spacing w:after="0"/>
        <w:ind w:firstLine="708"/>
        <w:rPr>
          <w:rFonts w:ascii="Arial" w:eastAsia="Arial Unicode MS" w:hAnsi="Arial" w:cs="Arial"/>
          <w:color w:val="4F81BD" w:themeColor="accent1"/>
          <w:szCs w:val="26"/>
          <w:lang w:val="es-MX"/>
        </w:rPr>
      </w:pPr>
      <w:r w:rsidRPr="0011121B">
        <w:rPr>
          <w:rFonts w:ascii="Arial" w:hAnsi="Arial" w:cs="Arial"/>
          <w:b/>
          <w:color w:val="4F81BD" w:themeColor="accent1"/>
          <w:szCs w:val="26"/>
        </w:rPr>
        <w:t xml:space="preserve">TERCERO. Interposición del recurso de revisión. </w:t>
      </w:r>
      <w:r w:rsidRPr="0011121B">
        <w:rPr>
          <w:rFonts w:ascii="Arial" w:hAnsi="Arial" w:cs="Arial"/>
          <w:color w:val="4F81BD" w:themeColor="accent1"/>
          <w:szCs w:val="26"/>
        </w:rPr>
        <w:t xml:space="preserve">El </w:t>
      </w:r>
      <w:r w:rsidR="00DF2FB1" w:rsidRPr="0011121B">
        <w:rPr>
          <w:rFonts w:ascii="Arial" w:hAnsi="Arial" w:cs="Arial"/>
          <w:color w:val="4F81BD" w:themeColor="accent1"/>
          <w:szCs w:val="26"/>
        </w:rPr>
        <w:t>veintitrés de enero de dos mil dieciocho</w:t>
      </w:r>
      <w:r w:rsidRPr="0011121B">
        <w:rPr>
          <w:rFonts w:ascii="Arial" w:hAnsi="Arial" w:cs="Arial"/>
          <w:color w:val="4F81BD" w:themeColor="accent1"/>
          <w:szCs w:val="26"/>
        </w:rPr>
        <w:t>, el recurrente interpuso el presente medio de impugnación, por el cual impugnó la respuesta emitida por parte del sujeto obligado</w:t>
      </w:r>
      <w:r w:rsidRPr="0011121B">
        <w:rPr>
          <w:rFonts w:ascii="Arial" w:eastAsia="Arial Unicode MS" w:hAnsi="Arial" w:cs="Arial"/>
          <w:b/>
          <w:color w:val="4F81BD" w:themeColor="accent1"/>
          <w:szCs w:val="26"/>
          <w:lang w:val="es-MX"/>
        </w:rPr>
        <w:t>,</w:t>
      </w:r>
      <w:r w:rsidRPr="0011121B">
        <w:rPr>
          <w:rFonts w:ascii="Arial" w:eastAsia="Arial Unicode MS" w:hAnsi="Arial" w:cs="Arial"/>
          <w:color w:val="4F81BD" w:themeColor="accent1"/>
          <w:szCs w:val="26"/>
          <w:lang w:val="es-MX"/>
        </w:rPr>
        <w:t xml:space="preserve"> y en el que señaló como motivos de inconformidad:</w:t>
      </w:r>
    </w:p>
    <w:p w:rsidR="00D42939" w:rsidRPr="0011121B" w:rsidRDefault="00D42939" w:rsidP="00D42939">
      <w:pPr>
        <w:pStyle w:val="Textoindependienteprimerasangra"/>
        <w:spacing w:line="240" w:lineRule="auto"/>
        <w:ind w:left="709" w:firstLine="708"/>
        <w:rPr>
          <w:rFonts w:ascii="Arial" w:hAnsi="Arial" w:cs="Arial"/>
          <w:i/>
          <w:color w:val="4F81BD" w:themeColor="accent1"/>
          <w:sz w:val="20"/>
          <w:szCs w:val="20"/>
        </w:rPr>
      </w:pPr>
      <w:r w:rsidRPr="0011121B">
        <w:rPr>
          <w:rFonts w:ascii="Arial" w:hAnsi="Arial" w:cs="Arial"/>
          <w:i/>
          <w:color w:val="4F81BD" w:themeColor="accent1"/>
          <w:sz w:val="20"/>
          <w:szCs w:val="20"/>
        </w:rPr>
        <w:t>“</w:t>
      </w:r>
      <w:r w:rsidR="00DF2FB1" w:rsidRPr="0011121B">
        <w:rPr>
          <w:rFonts w:ascii="Arial" w:hAnsi="Arial" w:cs="Arial"/>
          <w:i/>
          <w:color w:val="4F81BD" w:themeColor="accent1"/>
          <w:sz w:val="20"/>
          <w:szCs w:val="20"/>
        </w:rPr>
        <w:t>...El sujeto obligado proporciono estadísticas de 2010, que no corresponden con mi solicitud...</w:t>
      </w:r>
      <w:r w:rsidRPr="0011121B">
        <w:rPr>
          <w:rFonts w:ascii="Arial" w:hAnsi="Arial" w:cs="Arial"/>
          <w:i/>
          <w:color w:val="4F81BD" w:themeColor="accent1"/>
          <w:sz w:val="20"/>
          <w:szCs w:val="20"/>
        </w:rPr>
        <w:t>”.</w:t>
      </w:r>
    </w:p>
    <w:p w:rsidR="00D42939" w:rsidRPr="0011121B" w:rsidRDefault="00D42939" w:rsidP="00DF2FB1">
      <w:pPr>
        <w:spacing w:before="240"/>
        <w:rPr>
          <w:rFonts w:ascii="Arial" w:hAnsi="Arial" w:cs="Arial"/>
          <w:color w:val="4F81BD" w:themeColor="accent1"/>
        </w:rPr>
      </w:pPr>
      <w:r w:rsidRPr="0011121B">
        <w:rPr>
          <w:rFonts w:ascii="Arial" w:hAnsi="Arial" w:cs="Arial"/>
          <w:color w:val="4F81BD" w:themeColor="accent1"/>
        </w:rPr>
        <w:tab/>
      </w:r>
      <w:r w:rsidRPr="0011121B">
        <w:rPr>
          <w:rFonts w:ascii="Arial" w:hAnsi="Arial" w:cs="Arial"/>
          <w:b/>
          <w:color w:val="4F81BD" w:themeColor="accent1"/>
        </w:rPr>
        <w:t>CUARTO. Turno.</w:t>
      </w:r>
      <w:r w:rsidRPr="0011121B">
        <w:rPr>
          <w:rFonts w:ascii="Arial" w:hAnsi="Arial" w:cs="Arial"/>
          <w:color w:val="4F81BD" w:themeColor="accent1"/>
        </w:rPr>
        <w:t xml:space="preserve"> De conformidad con el artículo 174, fracción I, de la Ley de Transparencia y Acceso a la Información Pública del Estad</w:t>
      </w:r>
      <w:r w:rsidR="00DF2FB1" w:rsidRPr="0011121B">
        <w:rPr>
          <w:rFonts w:ascii="Arial" w:hAnsi="Arial" w:cs="Arial"/>
          <w:color w:val="4F81BD" w:themeColor="accent1"/>
        </w:rPr>
        <w:t>o, el recurso de revisión RR-042/2018</w:t>
      </w:r>
      <w:r w:rsidRPr="0011121B">
        <w:rPr>
          <w:rFonts w:ascii="Arial" w:hAnsi="Arial" w:cs="Arial"/>
          <w:color w:val="4F81BD" w:themeColor="accent1"/>
        </w:rPr>
        <w:t>-3 fue turnado a la Comisionada Ponente para que sustanciara el periodo de instrucción, y en su momento presentara al Pleno el proyecto de resolución correspondiente.</w:t>
      </w:r>
    </w:p>
    <w:p w:rsidR="00D42939" w:rsidRPr="0011121B" w:rsidRDefault="00D42939" w:rsidP="00D42939">
      <w:pPr>
        <w:spacing w:before="240" w:after="240"/>
        <w:rPr>
          <w:rFonts w:ascii="Arial" w:hAnsi="Arial" w:cs="Arial"/>
          <w:color w:val="4F81BD" w:themeColor="accent1"/>
        </w:rPr>
      </w:pPr>
      <w:r w:rsidRPr="0011121B">
        <w:rPr>
          <w:rFonts w:ascii="Arial" w:hAnsi="Arial" w:cs="Arial"/>
          <w:b/>
          <w:color w:val="4F81BD" w:themeColor="accent1"/>
        </w:rPr>
        <w:lastRenderedPageBreak/>
        <w:tab/>
        <w:t xml:space="preserve">QUINTO. Admisión. </w:t>
      </w:r>
      <w:r w:rsidRPr="0011121B">
        <w:rPr>
          <w:rFonts w:ascii="Arial" w:hAnsi="Arial" w:cs="Arial"/>
          <w:color w:val="4F81BD" w:themeColor="accent1"/>
        </w:rPr>
        <w:t xml:space="preserve">El </w:t>
      </w:r>
      <w:r w:rsidR="00DF2FB1" w:rsidRPr="0011121B">
        <w:rPr>
          <w:rFonts w:ascii="Arial" w:hAnsi="Arial" w:cs="Arial"/>
          <w:color w:val="4F81BD" w:themeColor="accent1"/>
        </w:rPr>
        <w:t>treinta y uno de enero de dos mil dieciocho</w:t>
      </w:r>
      <w:r w:rsidRPr="0011121B">
        <w:rPr>
          <w:rFonts w:ascii="Arial" w:hAnsi="Arial" w:cs="Arial"/>
          <w:color w:val="4F81BD" w:themeColor="accent1"/>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D42939" w:rsidRPr="0011121B" w:rsidRDefault="00D42939" w:rsidP="00D42939">
      <w:pPr>
        <w:rPr>
          <w:rFonts w:ascii="Arial" w:hAnsi="Arial" w:cs="Arial"/>
          <w:color w:val="4F81BD" w:themeColor="accent1"/>
        </w:rPr>
      </w:pPr>
      <w:r w:rsidRPr="0011121B">
        <w:rPr>
          <w:rFonts w:ascii="Arial" w:hAnsi="Arial" w:cs="Arial"/>
          <w:b/>
          <w:color w:val="4F81BD" w:themeColor="accent1"/>
        </w:rPr>
        <w:tab/>
        <w:t xml:space="preserve">SEXTO. Manifestaciones de las partes. </w:t>
      </w:r>
      <w:r w:rsidRPr="0011121B">
        <w:rPr>
          <w:rFonts w:ascii="Arial" w:hAnsi="Arial" w:cs="Arial"/>
          <w:color w:val="4F81BD" w:themeColor="accent1"/>
        </w:rPr>
        <w:t xml:space="preserve">El </w:t>
      </w:r>
      <w:r w:rsidR="00DF2FB1" w:rsidRPr="0011121B">
        <w:rPr>
          <w:rFonts w:ascii="Arial" w:hAnsi="Arial" w:cs="Arial"/>
          <w:color w:val="4F81BD" w:themeColor="accent1"/>
        </w:rPr>
        <w:t>veintiuno de febrero de dos mil dieciocho</w:t>
      </w:r>
      <w:r w:rsidRPr="0011121B">
        <w:rPr>
          <w:rFonts w:ascii="Arial" w:hAnsi="Arial" w:cs="Arial"/>
          <w:color w:val="4F81BD" w:themeColor="accent1"/>
        </w:rPr>
        <w:t xml:space="preserve">, se emitió un acuerdo por el cual se tuvo por recibido el escrito signado por el Titular de la Unidad de Transparencia, el cual se presentó en tiempo acorde a la certificación que obra a foja </w:t>
      </w:r>
      <w:r w:rsidR="00DF2FB1" w:rsidRPr="0011121B">
        <w:rPr>
          <w:rFonts w:ascii="Arial" w:hAnsi="Arial" w:cs="Arial"/>
          <w:color w:val="4F81BD" w:themeColor="accent1"/>
        </w:rPr>
        <w:t>22</w:t>
      </w:r>
      <w:r w:rsidRPr="0011121B">
        <w:rPr>
          <w:rFonts w:ascii="Arial" w:hAnsi="Arial" w:cs="Arial"/>
          <w:color w:val="4F81BD" w:themeColor="accent1"/>
        </w:rPr>
        <w:t xml:space="preserve"> del presente sumario, por lo que el sujeto obligado realizó las manifestaciones que a su derecho estimó conveniente.</w:t>
      </w:r>
    </w:p>
    <w:p w:rsidR="00D42939" w:rsidRPr="0011121B" w:rsidRDefault="00D42939" w:rsidP="00D42939">
      <w:pPr>
        <w:spacing w:before="240"/>
        <w:rPr>
          <w:rFonts w:ascii="Arial" w:hAnsi="Arial" w:cs="Arial"/>
          <w:color w:val="4F81BD" w:themeColor="accent1"/>
        </w:rPr>
      </w:pPr>
      <w:r w:rsidRPr="0011121B">
        <w:rPr>
          <w:rFonts w:ascii="Arial" w:hAnsi="Arial" w:cs="Arial"/>
          <w:color w:val="4F81BD" w:themeColor="accent1"/>
        </w:rPr>
        <w:tab/>
        <w:t>Por lo que toca al inconforme, éste no hizo uso de su derecho contenido en el artículo 174, fracción III de la Ley de Transparencia del Estado.</w:t>
      </w:r>
    </w:p>
    <w:p w:rsidR="00D42939" w:rsidRPr="0011121B" w:rsidRDefault="00D42939" w:rsidP="00D42939">
      <w:pPr>
        <w:spacing w:before="240"/>
        <w:rPr>
          <w:rFonts w:ascii="Arial" w:hAnsi="Arial" w:cs="Arial"/>
          <w:color w:val="4F81BD" w:themeColor="accent1"/>
        </w:rPr>
      </w:pPr>
      <w:r w:rsidRPr="0011121B">
        <w:rPr>
          <w:rFonts w:ascii="Arial" w:hAnsi="Arial" w:cs="Arial"/>
          <w:color w:val="4F81BD" w:themeColor="accent1"/>
        </w:rPr>
        <w:tab/>
      </w:r>
      <w:r w:rsidRPr="0011121B">
        <w:rPr>
          <w:rFonts w:ascii="Arial" w:hAnsi="Arial" w:cs="Arial"/>
          <w:b/>
          <w:color w:val="4F81BD" w:themeColor="accent1"/>
        </w:rPr>
        <w:t xml:space="preserve">SÉPTIMO. Cierre de Instrucción. </w:t>
      </w:r>
      <w:r w:rsidR="00DF2FB1" w:rsidRPr="0011121B">
        <w:rPr>
          <w:rFonts w:ascii="Arial" w:hAnsi="Arial" w:cs="Arial"/>
          <w:color w:val="4F81BD" w:themeColor="accent1"/>
        </w:rPr>
        <w:t>El veintiuno de febrero de dos mil dieciocho</w:t>
      </w:r>
      <w:r w:rsidRPr="0011121B">
        <w:rPr>
          <w:rFonts w:ascii="Arial" w:hAnsi="Arial" w:cs="Arial"/>
          <w:color w:val="4F81BD" w:themeColor="accent1"/>
        </w:rPr>
        <w:t>, se decretó el Cierre de Instrucción del expediente formado con motivo del presente recurso de revisión, a fin de que la ponente presentara el proyecto de resolución correspondiente.</w:t>
      </w:r>
    </w:p>
    <w:p w:rsidR="00D42939" w:rsidRPr="0011121B" w:rsidRDefault="00D42939" w:rsidP="00D42939">
      <w:pPr>
        <w:spacing w:before="240"/>
        <w:jc w:val="center"/>
        <w:rPr>
          <w:rFonts w:ascii="Arial" w:hAnsi="Arial" w:cs="Arial"/>
          <w:b/>
          <w:color w:val="4F81BD" w:themeColor="accent1"/>
        </w:rPr>
      </w:pPr>
      <w:r w:rsidRPr="0011121B">
        <w:rPr>
          <w:rFonts w:ascii="Arial" w:hAnsi="Arial" w:cs="Arial"/>
          <w:b/>
          <w:color w:val="4F81BD" w:themeColor="accent1"/>
        </w:rPr>
        <w:t xml:space="preserve">C O N S I D E R A N D O </w:t>
      </w:r>
    </w:p>
    <w:p w:rsidR="00D42939" w:rsidRPr="0011121B" w:rsidRDefault="00D42939" w:rsidP="00D42939">
      <w:pPr>
        <w:pStyle w:val="Textoindependienteprimerasangra"/>
        <w:spacing w:before="240"/>
        <w:ind w:firstLine="900"/>
        <w:rPr>
          <w:rFonts w:ascii="Arial" w:hAnsi="Arial" w:cs="Arial"/>
          <w:color w:val="4F81BD" w:themeColor="accent1"/>
        </w:rPr>
      </w:pPr>
      <w:r w:rsidRPr="0011121B">
        <w:rPr>
          <w:rFonts w:ascii="Arial" w:eastAsia="Arial Unicode MS" w:hAnsi="Arial" w:cs="Arial"/>
          <w:b/>
          <w:color w:val="4F81BD" w:themeColor="accent1"/>
        </w:rPr>
        <w:t>PRIMERO. Competencia.</w:t>
      </w:r>
      <w:r w:rsidRPr="0011121B">
        <w:rPr>
          <w:rFonts w:ascii="Arial" w:eastAsia="Arial Unicode MS" w:hAnsi="Arial" w:cs="Arial"/>
          <w:color w:val="4F81BD" w:themeColor="accent1"/>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4, fracción IV; 6 fracciones I y II; 7, 9 y 10, fracción XXVIII, del Reglamento Interior de la Comisión Estatal de Garantía de Acceso a la Información Pública.</w:t>
      </w:r>
    </w:p>
    <w:p w:rsidR="00D42939" w:rsidRPr="0011121B" w:rsidRDefault="00D42939" w:rsidP="00D42939">
      <w:pPr>
        <w:pStyle w:val="Textoindependienteprimerasangra"/>
        <w:spacing w:before="240"/>
        <w:ind w:firstLine="900"/>
        <w:rPr>
          <w:rFonts w:ascii="Arial" w:eastAsia="Arial Unicode MS" w:hAnsi="Arial" w:cs="Arial"/>
          <w:color w:val="4F81BD" w:themeColor="accent1"/>
        </w:rPr>
      </w:pPr>
      <w:r w:rsidRPr="0011121B">
        <w:rPr>
          <w:rFonts w:ascii="Arial" w:eastAsia="Arial Unicode MS" w:hAnsi="Arial" w:cs="Arial"/>
          <w:b/>
          <w:color w:val="4F81BD" w:themeColor="accent1"/>
        </w:rPr>
        <w:lastRenderedPageBreak/>
        <w:t xml:space="preserve">SEGUNDO. Procedibilidad y Oportunidad. </w:t>
      </w:r>
      <w:r w:rsidRPr="0011121B">
        <w:rPr>
          <w:rFonts w:ascii="Arial" w:eastAsia="Arial Unicode MS" w:hAnsi="Arial" w:cs="Arial"/>
          <w:color w:val="4F81BD" w:themeColor="accent1"/>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42939" w:rsidRPr="0011121B" w:rsidRDefault="00D42939" w:rsidP="00D42939">
      <w:pPr>
        <w:pStyle w:val="Textoindependienteprimerasangra"/>
        <w:spacing w:before="240"/>
        <w:ind w:firstLine="900"/>
        <w:rPr>
          <w:rFonts w:ascii="Arial" w:eastAsia="Arial Unicode MS" w:hAnsi="Arial" w:cs="Arial"/>
          <w:color w:val="4F81BD" w:themeColor="accent1"/>
        </w:rPr>
      </w:pPr>
      <w:r w:rsidRPr="0011121B">
        <w:rPr>
          <w:rFonts w:ascii="Arial" w:eastAsia="Arial Unicode MS" w:hAnsi="Arial" w:cs="Arial"/>
          <w:color w:val="4F81BD" w:themeColor="accent1"/>
        </w:rPr>
        <w:t xml:space="preserve">El recurso de revisión fue interpuesto dentro del plazo de quince días hábiles previsto en el artículo 166 de la Ley de Transparencia del Estado, toda vez que el ente obligado notificó su respuesta el </w:t>
      </w:r>
      <w:r w:rsidR="00DF2FB1" w:rsidRPr="0011121B">
        <w:rPr>
          <w:rFonts w:ascii="Arial" w:eastAsia="Arial Unicode MS" w:hAnsi="Arial" w:cs="Arial"/>
          <w:b/>
          <w:color w:val="4F81BD" w:themeColor="accent1"/>
        </w:rPr>
        <w:t>diez de enero de dos mil dieciocho</w:t>
      </w:r>
      <w:r w:rsidRPr="0011121B">
        <w:rPr>
          <w:rFonts w:ascii="Arial" w:hAnsi="Arial" w:cs="Arial"/>
          <w:color w:val="4F81BD" w:themeColor="accent1"/>
          <w:lang w:val="es-MX"/>
        </w:rPr>
        <w:t xml:space="preserve">; resulta entonces que al ser presentado el presente medio de defensa el </w:t>
      </w:r>
      <w:r w:rsidR="00E8120F" w:rsidRPr="0011121B">
        <w:rPr>
          <w:rFonts w:ascii="Arial" w:hAnsi="Arial" w:cs="Arial"/>
          <w:b/>
          <w:color w:val="4F81BD" w:themeColor="accent1"/>
          <w:lang w:val="es-MX"/>
        </w:rPr>
        <w:t>veintitrés de enero de dos mil dieciocho</w:t>
      </w:r>
      <w:r w:rsidRPr="0011121B">
        <w:rPr>
          <w:rFonts w:ascii="Arial" w:hAnsi="Arial" w:cs="Arial"/>
          <w:color w:val="4F81BD" w:themeColor="accent1"/>
          <w:lang w:val="es-MX"/>
        </w:rPr>
        <w:t>, se hizo valer al</w:t>
      </w:r>
      <w:r w:rsidR="00E8120F" w:rsidRPr="0011121B">
        <w:rPr>
          <w:rFonts w:ascii="Arial" w:hAnsi="Arial" w:cs="Arial"/>
          <w:color w:val="4F81BD" w:themeColor="accent1"/>
          <w:lang w:val="es-MX"/>
        </w:rPr>
        <w:t xml:space="preserve"> noveno</w:t>
      </w:r>
      <w:r w:rsidRPr="0011121B">
        <w:rPr>
          <w:rFonts w:ascii="Arial" w:hAnsi="Arial" w:cs="Arial"/>
          <w:color w:val="4F81BD" w:themeColor="accent1"/>
          <w:lang w:val="es-MX"/>
        </w:rPr>
        <w:t xml:space="preserve"> día del plazo con que contaba el recurrente, y por ello su interposición es acorde a lo dispuesto por el numeral 166 de la Ley de Transparencia del Estado, por lo que se concluye que se encuentra dentro de los márgenes temporales previstos en el citado precepto legal.</w:t>
      </w:r>
    </w:p>
    <w:p w:rsidR="00D42939" w:rsidRPr="0011121B" w:rsidRDefault="00D42939" w:rsidP="00D42939">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11121B" w:rsidRPr="0011121B" w:rsidRDefault="0011121B" w:rsidP="0011121B">
      <w:pPr>
        <w:pStyle w:val="Textoindependienteprimerasangra"/>
        <w:spacing w:before="240"/>
        <w:ind w:firstLine="900"/>
        <w:rPr>
          <w:rFonts w:ascii="Arial" w:hAnsi="Arial" w:cs="Arial"/>
          <w:color w:val="4F81BD" w:themeColor="accent1"/>
        </w:rPr>
      </w:pPr>
      <w:r w:rsidRPr="0011121B">
        <w:rPr>
          <w:rFonts w:ascii="Arial" w:hAnsi="Arial" w:cs="Arial"/>
          <w:b/>
          <w:color w:val="4F81BD" w:themeColor="accent1"/>
          <w:lang w:val="es-MX"/>
        </w:rPr>
        <w:t xml:space="preserve">TERCERO. Sobreseimiento. </w:t>
      </w:r>
      <w:r w:rsidRPr="0011121B">
        <w:rPr>
          <w:rFonts w:ascii="Arial" w:hAnsi="Arial" w:cs="Arial"/>
          <w:color w:val="4F81BD" w:themeColor="accent1"/>
          <w:lang w:val="es-MX"/>
        </w:rPr>
        <w:t>Esta Comisión estima que en la presente causa se actualiza una hipótesis de sobreseimiento, ya que de las manifestaciones vertidas por el ente obligado y contenidas en el oficio UI/047/2018, señala que en el presente asunto se configura la hipótesis establecida en el artículo 180</w:t>
      </w:r>
      <w:r w:rsidRPr="0011121B">
        <w:rPr>
          <w:rFonts w:ascii="Arial" w:hAnsi="Arial" w:cs="Arial"/>
          <w:color w:val="4F81BD" w:themeColor="accent1"/>
        </w:rPr>
        <w:t>, fracción III de la Ley de Transparencia y Acceso a la Información Pública del Estado.</w:t>
      </w:r>
    </w:p>
    <w:p w:rsidR="0011121B" w:rsidRPr="0011121B" w:rsidRDefault="0011121B" w:rsidP="0011121B">
      <w:pPr>
        <w:pStyle w:val="Textoindependienteprimerasangra"/>
        <w:spacing w:before="240"/>
        <w:ind w:firstLine="900"/>
        <w:rPr>
          <w:rFonts w:ascii="Arial" w:hAnsi="Arial" w:cs="Arial"/>
          <w:color w:val="4F81BD" w:themeColor="accent1"/>
        </w:rPr>
      </w:pPr>
      <w:r w:rsidRPr="0011121B">
        <w:rPr>
          <w:rFonts w:ascii="Arial" w:hAnsi="Arial" w:cs="Arial"/>
          <w:color w:val="4F81BD" w:themeColor="accent1"/>
        </w:rPr>
        <w:t xml:space="preserve">Por tanto y previo a abordar los cuestionamientos de fondo que motivan al presente asunto, es necesario determinar si se actualiza o no, la causal de improcedencia aludida y señalada por el ente obligado. </w:t>
      </w:r>
    </w:p>
    <w:p w:rsidR="0011121B" w:rsidRPr="0011121B" w:rsidRDefault="0011121B" w:rsidP="0011121B">
      <w:pPr>
        <w:pStyle w:val="Textoindependienteprimerasangra"/>
        <w:spacing w:before="240"/>
        <w:ind w:firstLine="900"/>
        <w:rPr>
          <w:rFonts w:ascii="Arial" w:hAnsi="Arial" w:cs="Arial"/>
          <w:color w:val="4F81BD" w:themeColor="accent1"/>
          <w:lang w:val="es-ES_tradnl"/>
        </w:rPr>
      </w:pPr>
      <w:r w:rsidRPr="0011121B">
        <w:rPr>
          <w:rFonts w:ascii="Arial" w:hAnsi="Arial" w:cs="Arial"/>
          <w:color w:val="4F81BD" w:themeColor="accent1"/>
          <w:lang w:val="es-ES_tradnl"/>
        </w:rPr>
        <w:t xml:space="preserve">La fracción III, del artículo 180 de la Ley de Transparencia del Estado, establece: </w:t>
      </w:r>
    </w:p>
    <w:p w:rsidR="0011121B" w:rsidRPr="0011121B" w:rsidRDefault="0011121B" w:rsidP="0011121B">
      <w:pPr>
        <w:pStyle w:val="Textoindependienteprimerasangra"/>
        <w:spacing w:after="0" w:line="240" w:lineRule="auto"/>
        <w:ind w:firstLine="902"/>
        <w:rPr>
          <w:rFonts w:ascii="Arial" w:hAnsi="Arial" w:cs="Arial"/>
          <w:i/>
          <w:color w:val="4F81BD" w:themeColor="accent1"/>
          <w:sz w:val="22"/>
          <w:szCs w:val="22"/>
          <w:lang w:val="es-ES_tradnl"/>
        </w:rPr>
      </w:pPr>
      <w:r w:rsidRPr="0011121B">
        <w:rPr>
          <w:rFonts w:ascii="Arial" w:hAnsi="Arial" w:cs="Arial"/>
          <w:i/>
          <w:color w:val="4F81BD" w:themeColor="accent1"/>
          <w:sz w:val="22"/>
          <w:szCs w:val="22"/>
        </w:rPr>
        <w:t>El recurso será sobreseído, en todo o en parte, cuando, una vez admitido, se actualicen alguno de los siguientes supuestos:</w:t>
      </w:r>
      <w:r w:rsidRPr="0011121B">
        <w:rPr>
          <w:rFonts w:ascii="Arial" w:hAnsi="Arial" w:cs="Arial"/>
          <w:i/>
          <w:color w:val="4F81BD" w:themeColor="accent1"/>
          <w:sz w:val="22"/>
          <w:szCs w:val="22"/>
          <w:lang w:val="es-ES_tradnl"/>
        </w:rPr>
        <w:t xml:space="preserve"> </w:t>
      </w:r>
    </w:p>
    <w:p w:rsidR="0011121B" w:rsidRPr="0011121B" w:rsidRDefault="0011121B" w:rsidP="0011121B">
      <w:pPr>
        <w:pStyle w:val="Textoindependienteprimerasangra"/>
        <w:spacing w:after="0" w:line="240" w:lineRule="auto"/>
        <w:ind w:firstLine="902"/>
        <w:rPr>
          <w:rFonts w:ascii="Arial" w:hAnsi="Arial" w:cs="Arial"/>
          <w:i/>
          <w:color w:val="4F81BD" w:themeColor="accent1"/>
          <w:sz w:val="22"/>
          <w:szCs w:val="22"/>
          <w:lang w:val="es-ES_tradnl"/>
        </w:rPr>
      </w:pPr>
      <w:r w:rsidRPr="0011121B">
        <w:rPr>
          <w:rFonts w:ascii="Arial" w:hAnsi="Arial" w:cs="Arial"/>
          <w:i/>
          <w:color w:val="4F81BD" w:themeColor="accent1"/>
          <w:sz w:val="22"/>
          <w:szCs w:val="22"/>
          <w:lang w:val="es-ES_tradnl"/>
        </w:rPr>
        <w:lastRenderedPageBreak/>
        <w:t xml:space="preserve">… </w:t>
      </w:r>
      <w:r w:rsidRPr="0011121B">
        <w:rPr>
          <w:rFonts w:ascii="Arial" w:hAnsi="Arial" w:cs="Arial"/>
          <w:i/>
          <w:color w:val="4F81BD" w:themeColor="accent1"/>
          <w:sz w:val="22"/>
          <w:szCs w:val="22"/>
        </w:rPr>
        <w:t>III. El sujeto obligado responsable del acto lo modifique o revoque de tal manera que el recurso de revisión quede sin materia, o</w:t>
      </w:r>
    </w:p>
    <w:p w:rsidR="0011121B" w:rsidRPr="0011121B" w:rsidRDefault="0011121B" w:rsidP="0011121B">
      <w:pPr>
        <w:pStyle w:val="Textoindependienteprimerasangra"/>
        <w:spacing w:before="240"/>
        <w:ind w:firstLine="900"/>
        <w:rPr>
          <w:rFonts w:ascii="Arial" w:hAnsi="Arial" w:cs="Arial"/>
          <w:color w:val="4F81BD" w:themeColor="accent1"/>
          <w:lang w:val="es-ES_tradnl"/>
        </w:rPr>
      </w:pPr>
      <w:r w:rsidRPr="0011121B">
        <w:rPr>
          <w:rFonts w:ascii="Arial" w:hAnsi="Arial" w:cs="Arial"/>
          <w:color w:val="4F81BD" w:themeColor="accent1"/>
          <w:lang w:val="es-ES_tradnl"/>
        </w:rPr>
        <w:t>De conformidad con la disposición normativa transcrita, la improcedencia como figura procesal se traduce en la posibilidad o facultad que tiene este Órgano Garante para desechar el recurso de revisión y no estudiar el fondo del asunto; ello significa que la interposición del presente medio de defensa sea procedente y una vez iniciado el proceso, este continúe su tramitación hasta el final y sea dictada la resolución respectiva, en la que el recurrente no logra que se le dicte una resolución, ya sea en su favor o en contra.</w:t>
      </w:r>
    </w:p>
    <w:p w:rsidR="0011121B" w:rsidRPr="0011121B" w:rsidRDefault="0011121B" w:rsidP="0011121B">
      <w:pPr>
        <w:pStyle w:val="Textoindependienteprimerasangra"/>
        <w:spacing w:before="240"/>
        <w:ind w:firstLine="900"/>
        <w:rPr>
          <w:rFonts w:ascii="Arial" w:hAnsi="Arial" w:cs="Arial"/>
          <w:i/>
          <w:color w:val="4F81BD" w:themeColor="accent1"/>
          <w:sz w:val="22"/>
          <w:szCs w:val="22"/>
        </w:rPr>
      </w:pPr>
      <w:r w:rsidRPr="0011121B">
        <w:rPr>
          <w:rFonts w:ascii="Arial" w:hAnsi="Arial" w:cs="Arial"/>
          <w:color w:val="4F81BD" w:themeColor="accent1"/>
        </w:rPr>
        <w:t xml:space="preserve">Ahora bien, en estudio de la hipótesis de improcedencia invocada por el sujeto obligado y de los </w:t>
      </w:r>
      <w:r w:rsidRPr="0011121B">
        <w:rPr>
          <w:rFonts w:ascii="Arial" w:hAnsi="Arial" w:cs="Arial"/>
          <w:color w:val="4F81BD" w:themeColor="accent1"/>
          <w:szCs w:val="26"/>
        </w:rPr>
        <w:t xml:space="preserve">diversos documentos allegados al sumario, los cuales son tomados en consideración con la finalidad de que los datos </w:t>
      </w:r>
      <w:r w:rsidRPr="0011121B">
        <w:rPr>
          <w:rFonts w:ascii="Arial" w:hAnsi="Arial" w:cs="Arial"/>
          <w:bCs/>
          <w:color w:val="4F81BD" w:themeColor="accent1"/>
          <w:szCs w:val="26"/>
        </w:rPr>
        <w:t xml:space="preserve">que emanen del escrito de interposición del recurso de revisión, sus anexos, los ocursos por los que las partes realizan manifestaciones conforme a su derecho e incluso la totalidad de la información del expediente formado con motivo de la interposición del presente medio de defensa, deriven preferentemente al pensamiento e intencionalidad de su autor, descartando las precisiones que generen oscuridad o confusión. </w:t>
      </w:r>
      <w:r w:rsidRPr="0011121B">
        <w:rPr>
          <w:rFonts w:ascii="Arial" w:hAnsi="Arial" w:cs="Arial"/>
          <w:color w:val="4F81BD" w:themeColor="accent1"/>
          <w:szCs w:val="26"/>
        </w:rPr>
        <w:t>Esto es, atender a lo que quisieron decir las partes y no únicamente a lo que en apariencia se dijo, pues sólo de esta manera se logra congruencia entre lo pretendido y lo resuelto.</w:t>
      </w:r>
    </w:p>
    <w:p w:rsidR="0011121B" w:rsidRPr="0011121B" w:rsidRDefault="0011121B" w:rsidP="0011121B">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Para acreditar su dicho, el sujeto obligado acompañó el oficio UI/047/2018-3, mismo que notificó, a través del correo electrónico de la peticionaria, el diecinueve de febrero de dos mil dieciocho.</w:t>
      </w:r>
    </w:p>
    <w:p w:rsidR="0011121B" w:rsidRPr="0011121B" w:rsidRDefault="0011121B" w:rsidP="0011121B">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Ahora bien, el artículo 180, fracción III, de la Ley de Transparencia y Acceso a la Información Pública del Estado, efectivamente prevé como hipótesis de sobreseimiento que la autoridad modifique o revoque su acto, pero que sea de tal manera que deje sin materia el medio de impugnación del que se trate, por lo que su configuración se supedita a los siguientes elementos:</w:t>
      </w:r>
    </w:p>
    <w:p w:rsidR="0011121B" w:rsidRPr="0011121B" w:rsidRDefault="0011121B" w:rsidP="0011121B">
      <w:pPr>
        <w:spacing w:before="240"/>
        <w:rPr>
          <w:rFonts w:ascii="Arial" w:hAnsi="Arial" w:cs="Arial"/>
          <w:color w:val="4F81BD" w:themeColor="accent1"/>
          <w:szCs w:val="26"/>
        </w:rPr>
      </w:pPr>
      <w:r w:rsidRPr="0011121B">
        <w:rPr>
          <w:rFonts w:ascii="Arial" w:hAnsi="Arial" w:cs="Arial"/>
          <w:b/>
          <w:color w:val="4F81BD" w:themeColor="accent1"/>
        </w:rPr>
        <w:tab/>
        <w:t xml:space="preserve">Primer elemento: </w:t>
      </w:r>
      <w:r w:rsidRPr="0011121B">
        <w:rPr>
          <w:rFonts w:ascii="Arial" w:hAnsi="Arial" w:cs="Arial"/>
          <w:color w:val="4F81BD" w:themeColor="accent1"/>
          <w:szCs w:val="26"/>
        </w:rPr>
        <w:t>el sujeto obligado responsable modifique o revoque el acto impugnado.</w:t>
      </w:r>
    </w:p>
    <w:p w:rsidR="0011121B" w:rsidRPr="0011121B" w:rsidRDefault="0011121B" w:rsidP="0011121B">
      <w:pPr>
        <w:spacing w:before="240"/>
        <w:rPr>
          <w:rFonts w:ascii="Arial" w:hAnsi="Arial" w:cs="Arial"/>
          <w:color w:val="4F81BD" w:themeColor="accent1"/>
          <w:szCs w:val="26"/>
        </w:rPr>
      </w:pPr>
      <w:r w:rsidRPr="0011121B">
        <w:rPr>
          <w:rFonts w:ascii="Arial" w:hAnsi="Arial" w:cs="Arial"/>
          <w:i/>
          <w:color w:val="4F81BD" w:themeColor="accent1"/>
          <w:sz w:val="22"/>
          <w:szCs w:val="20"/>
        </w:rPr>
        <w:lastRenderedPageBreak/>
        <w:tab/>
      </w:r>
      <w:r w:rsidRPr="0011121B">
        <w:rPr>
          <w:rFonts w:ascii="Arial" w:hAnsi="Arial" w:cs="Arial"/>
          <w:b/>
          <w:color w:val="4F81BD" w:themeColor="accent1"/>
          <w:szCs w:val="26"/>
        </w:rPr>
        <w:t xml:space="preserve">Segundo elemento: </w:t>
      </w:r>
      <w:r w:rsidRPr="0011121B">
        <w:rPr>
          <w:rFonts w:ascii="Arial" w:hAnsi="Arial" w:cs="Arial"/>
          <w:color w:val="4F81BD" w:themeColor="accent1"/>
          <w:szCs w:val="26"/>
        </w:rPr>
        <w:t>La modificación o revocación deje sin materia el recurso.</w:t>
      </w:r>
    </w:p>
    <w:p w:rsidR="0011121B" w:rsidRPr="0011121B" w:rsidRDefault="0011121B" w:rsidP="0011121B">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 xml:space="preserve">Se estima que el primer elemento se encuentra acreditado, toda vez que la autoridad generó un nuevo acto por el que pretendió colmar el derecho de acceso a la información pública. La modificación que sufrió la actuación administrativa es inherente a la entrega de la información respecto del periodo dos mil once, toda vez al analizar la respuesta original, se advierte que contrario a lo requerido por el particular, se le informó respecto al periodo de dos mil diez, siendo lo solicitado lo relativo a dos mil once. </w:t>
      </w:r>
    </w:p>
    <w:p w:rsidR="0011121B" w:rsidRPr="0011121B" w:rsidRDefault="0011121B" w:rsidP="0011121B">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Lo anterior, supone que efectivamente se modificó la actuación de la autoridad, ya que el oficio UI/047/2018-3 fue emitido para colmar las deficiencias con presenta la respuesta original, ya que no se altera el sentido de la voluntad administrativa, sino que por el contrario ambos oficios se encuentran ligados ya que uno se complementa con el otro, en el sentido de que se justifica una actuación exteriorizada por el sujeto obligado.</w:t>
      </w:r>
    </w:p>
    <w:p w:rsidR="0011121B" w:rsidRPr="0011121B" w:rsidRDefault="0011121B" w:rsidP="0011121B">
      <w:pPr>
        <w:pStyle w:val="Textoindependienteprimerasangra"/>
        <w:spacing w:before="240"/>
        <w:ind w:firstLine="900"/>
        <w:rPr>
          <w:rFonts w:ascii="Arial" w:hAnsi="Arial" w:cs="Arial"/>
          <w:color w:val="4F81BD" w:themeColor="accent1"/>
          <w:lang w:val="es-MX"/>
        </w:rPr>
      </w:pPr>
      <w:r w:rsidRPr="0011121B">
        <w:rPr>
          <w:rFonts w:ascii="Arial" w:hAnsi="Arial" w:cs="Arial"/>
          <w:color w:val="4F81BD" w:themeColor="accent1"/>
          <w:lang w:val="es-MX"/>
        </w:rPr>
        <w:t>Así, resulta que la presente causa queda sin materia, toda vez que en el oficio UI/047/2018-3, otorga acceso a la información requerida por el particular. En conclusión, el sujeto obligado sí modificó su respuesta, de lo cual se obtiene que perfeccione su respuesta primigenia.</w:t>
      </w:r>
    </w:p>
    <w:p w:rsidR="0011121B" w:rsidRPr="0011121B" w:rsidRDefault="0011121B" w:rsidP="0011121B">
      <w:pPr>
        <w:ind w:firstLine="709"/>
        <w:rPr>
          <w:rFonts w:ascii="Arial" w:hAnsi="Arial" w:cs="Arial"/>
          <w:color w:val="4F81BD" w:themeColor="accent1"/>
        </w:rPr>
      </w:pPr>
      <w:r w:rsidRPr="0011121B">
        <w:rPr>
          <w:rFonts w:ascii="Arial" w:hAnsi="Arial" w:cs="Arial"/>
          <w:iCs/>
          <w:color w:val="4F81BD" w:themeColor="accent1"/>
          <w:szCs w:val="26"/>
        </w:rPr>
        <w:t>Así, al actualizarse la causa de improcedencia en estudio</w:t>
      </w:r>
      <w:r w:rsidRPr="0011121B">
        <w:rPr>
          <w:rFonts w:ascii="Arial" w:hAnsi="Arial" w:cs="Arial"/>
          <w:color w:val="4F81BD" w:themeColor="accent1"/>
          <w:szCs w:val="26"/>
        </w:rPr>
        <w:t xml:space="preserve">, con fundamento en lo establecido por la fracción IV del artículo 180 de la ley de la materia, procede sobreseer en el presente Recurso de Revisión, promovido por el particular en contra de la Procuraduría General del Estado de San Luis Potosí, por conducto de su Titular, por la respuesta a su solicitud de información de folio 00850817. </w:t>
      </w:r>
    </w:p>
    <w:p w:rsidR="0011121B" w:rsidRPr="0011121B" w:rsidRDefault="0011121B" w:rsidP="0011121B">
      <w:pPr>
        <w:autoSpaceDE w:val="0"/>
        <w:autoSpaceDN w:val="0"/>
        <w:adjustRightInd w:val="0"/>
        <w:ind w:right="51" w:firstLine="709"/>
        <w:rPr>
          <w:rFonts w:ascii="Arial" w:hAnsi="Arial" w:cs="Arial"/>
          <w:color w:val="4F81BD" w:themeColor="accent1"/>
          <w:szCs w:val="26"/>
        </w:rPr>
      </w:pPr>
      <w:r w:rsidRPr="0011121B">
        <w:rPr>
          <w:rFonts w:ascii="Arial" w:hAnsi="Arial" w:cs="Arial"/>
          <w:color w:val="4F81BD" w:themeColor="accent1"/>
          <w:szCs w:val="26"/>
        </w:rPr>
        <w:t>El sobreseimiento decretado impide abordar el estudio de las cuestiones de fondo planteadas.</w:t>
      </w:r>
    </w:p>
    <w:p w:rsidR="0011121B" w:rsidRPr="0011121B" w:rsidRDefault="0011121B" w:rsidP="0011121B">
      <w:pPr>
        <w:ind w:firstLine="709"/>
        <w:rPr>
          <w:rFonts w:ascii="Arial" w:hAnsi="Arial" w:cs="Arial"/>
          <w:color w:val="4F81BD" w:themeColor="accent1"/>
          <w:szCs w:val="26"/>
        </w:rPr>
      </w:pPr>
      <w:r w:rsidRPr="0011121B">
        <w:rPr>
          <w:rFonts w:ascii="Arial" w:hAnsi="Arial" w:cs="Arial"/>
          <w:color w:val="4F81BD" w:themeColor="accent1"/>
          <w:szCs w:val="26"/>
        </w:rPr>
        <w:t>Sirve de apoyo a lo dicho la jurisprudencia</w:t>
      </w:r>
      <w:r w:rsidRPr="0011121B">
        <w:rPr>
          <w:rStyle w:val="Refdenotaalpie"/>
          <w:rFonts w:ascii="Arial" w:hAnsi="Arial" w:cs="Arial"/>
          <w:color w:val="4F81BD" w:themeColor="accent1"/>
          <w:szCs w:val="26"/>
        </w:rPr>
        <w:footnoteReference w:id="1"/>
      </w:r>
      <w:r w:rsidRPr="0011121B">
        <w:rPr>
          <w:rFonts w:ascii="Arial" w:hAnsi="Arial" w:cs="Arial"/>
          <w:color w:val="4F81BD" w:themeColor="accent1"/>
          <w:szCs w:val="26"/>
        </w:rPr>
        <w:t>,- por analogía- cuyo texto dice:</w:t>
      </w:r>
    </w:p>
    <w:p w:rsidR="0011121B" w:rsidRPr="0011121B" w:rsidRDefault="0011121B" w:rsidP="0011121B">
      <w:pPr>
        <w:spacing w:line="240" w:lineRule="auto"/>
        <w:ind w:left="709" w:firstLine="707"/>
        <w:rPr>
          <w:rFonts w:ascii="Arial" w:hAnsi="Arial" w:cs="Arial"/>
          <w:color w:val="4F81BD" w:themeColor="accent1"/>
          <w:sz w:val="22"/>
          <w:szCs w:val="22"/>
        </w:rPr>
      </w:pPr>
      <w:r w:rsidRPr="0011121B">
        <w:rPr>
          <w:rFonts w:ascii="Arial" w:hAnsi="Arial" w:cs="Arial"/>
          <w:color w:val="4F81BD" w:themeColor="accent1"/>
          <w:sz w:val="22"/>
          <w:szCs w:val="22"/>
        </w:rPr>
        <w:lastRenderedPageBreak/>
        <w:t>“</w:t>
      </w:r>
      <w:r w:rsidRPr="0011121B">
        <w:rPr>
          <w:rFonts w:ascii="Arial" w:hAnsi="Arial" w:cs="Arial"/>
          <w:b/>
          <w:i/>
          <w:color w:val="4F81BD" w:themeColor="accent1"/>
          <w:sz w:val="22"/>
          <w:szCs w:val="22"/>
        </w:rPr>
        <w:t>SOBRESEIMIENTO. IMPIDE ENTRAR A ANALIZAR EL ESTUDIO DE LAS CUESTIONES DE FONDO.</w:t>
      </w:r>
      <w:r w:rsidRPr="0011121B">
        <w:rPr>
          <w:rFonts w:ascii="Arial" w:hAnsi="Arial" w:cs="Arial"/>
          <w:i/>
          <w:color w:val="4F81BD" w:themeColor="accent1"/>
          <w:sz w:val="22"/>
          <w:szCs w:val="22"/>
        </w:rPr>
        <w:t xml:space="preserve"> Cuando se acredita en el juicio de garantías cualquier causal de improcedencia y se decreta el sobreseimiento, no causa ningún agravio la sentencia que deja de ocuparse de los argumentos tendientes a demostrar la violación de garantías por los actos reclamados de las autoridades responsables, lo que constituye el problema de fondo, porque aquella cuestión es de estudio preferente</w:t>
      </w:r>
      <w:r w:rsidRPr="0011121B">
        <w:rPr>
          <w:rFonts w:ascii="Arial" w:hAnsi="Arial" w:cs="Arial"/>
          <w:color w:val="4F81BD" w:themeColor="accent1"/>
          <w:sz w:val="22"/>
          <w:szCs w:val="22"/>
        </w:rPr>
        <w:t>”.</w:t>
      </w:r>
    </w:p>
    <w:p w:rsidR="0011121B" w:rsidRPr="0011121B" w:rsidRDefault="0011121B" w:rsidP="0011121B">
      <w:pPr>
        <w:spacing w:line="240" w:lineRule="auto"/>
        <w:ind w:right="51" w:firstLine="709"/>
        <w:rPr>
          <w:rFonts w:ascii="Arial" w:hAnsi="Arial" w:cs="Arial"/>
          <w:color w:val="4F81BD" w:themeColor="accent1"/>
          <w:szCs w:val="26"/>
        </w:rPr>
      </w:pPr>
    </w:p>
    <w:p w:rsidR="0011121B" w:rsidRPr="0011121B" w:rsidRDefault="0011121B" w:rsidP="0011121B">
      <w:pPr>
        <w:spacing w:before="240"/>
        <w:ind w:firstLine="708"/>
        <w:rPr>
          <w:rFonts w:ascii="Arial" w:hAnsi="Arial" w:cs="Arial"/>
          <w:color w:val="4F81BD" w:themeColor="accent1"/>
        </w:rPr>
      </w:pPr>
      <w:r w:rsidRPr="0011121B">
        <w:rPr>
          <w:rFonts w:ascii="Arial" w:hAnsi="Arial" w:cs="Arial"/>
          <w:color w:val="4F81BD" w:themeColor="accent1"/>
        </w:rPr>
        <w:t xml:space="preserve">En razón de lo expuesto, es que esta Comisión, con fundamento en el artículo 180, fracción IV de la Ley de Transparencia y Acceso a la Información Pública, sobresee el presente recurso por las razones y fundamentos expuestos con antelación. </w:t>
      </w:r>
    </w:p>
    <w:p w:rsidR="0011121B" w:rsidRPr="0011121B" w:rsidRDefault="0011121B" w:rsidP="0011121B">
      <w:pPr>
        <w:shd w:val="clear" w:color="auto" w:fill="FFFFFF"/>
        <w:spacing w:before="100" w:beforeAutospacing="1" w:after="100" w:afterAutospacing="1" w:line="288" w:lineRule="atLeast"/>
        <w:ind w:firstLine="708"/>
        <w:rPr>
          <w:rFonts w:ascii="Arial" w:hAnsi="Arial" w:cs="Arial"/>
          <w:color w:val="4F81BD" w:themeColor="accent1"/>
          <w:szCs w:val="26"/>
          <w:lang w:val="es-MX" w:eastAsia="es-MX"/>
        </w:rPr>
      </w:pPr>
      <w:r w:rsidRPr="0011121B">
        <w:rPr>
          <w:rFonts w:ascii="Arial" w:hAnsi="Arial" w:cs="Arial"/>
          <w:color w:val="4F81BD" w:themeColor="accent1"/>
          <w:szCs w:val="26"/>
          <w:lang w:val="es-MX" w:eastAsia="es-MX"/>
        </w:rPr>
        <w:t>Por lo anteriormente expuesto y fundado se:</w:t>
      </w:r>
    </w:p>
    <w:p w:rsidR="0011121B" w:rsidRPr="0011121B" w:rsidRDefault="0011121B" w:rsidP="0011121B">
      <w:pPr>
        <w:shd w:val="clear" w:color="auto" w:fill="FFFFFF"/>
        <w:spacing w:line="288" w:lineRule="atLeast"/>
        <w:jc w:val="center"/>
        <w:rPr>
          <w:rFonts w:ascii="Arial" w:hAnsi="Arial" w:cs="Arial"/>
          <w:b/>
          <w:bCs/>
          <w:color w:val="4F81BD" w:themeColor="accent1"/>
          <w:szCs w:val="26"/>
          <w:lang w:val="es-MX" w:eastAsia="es-MX"/>
        </w:rPr>
      </w:pPr>
    </w:p>
    <w:p w:rsidR="0011121B" w:rsidRPr="0011121B" w:rsidRDefault="0011121B" w:rsidP="0011121B">
      <w:pPr>
        <w:shd w:val="clear" w:color="auto" w:fill="FFFFFF"/>
        <w:spacing w:line="288" w:lineRule="atLeast"/>
        <w:jc w:val="center"/>
        <w:rPr>
          <w:rFonts w:ascii="Arial" w:hAnsi="Arial" w:cs="Arial"/>
          <w:b/>
          <w:bCs/>
          <w:color w:val="4F81BD" w:themeColor="accent1"/>
          <w:szCs w:val="26"/>
          <w:lang w:val="es-MX" w:eastAsia="es-MX"/>
        </w:rPr>
      </w:pPr>
      <w:r w:rsidRPr="0011121B">
        <w:rPr>
          <w:rFonts w:ascii="Arial" w:hAnsi="Arial" w:cs="Arial"/>
          <w:b/>
          <w:bCs/>
          <w:color w:val="4F81BD" w:themeColor="accent1"/>
          <w:szCs w:val="26"/>
          <w:lang w:val="es-MX" w:eastAsia="es-MX"/>
        </w:rPr>
        <w:t>R E S U E L V E:</w:t>
      </w:r>
    </w:p>
    <w:p w:rsidR="0011121B" w:rsidRPr="0011121B" w:rsidRDefault="00AA6552" w:rsidP="0011121B">
      <w:pPr>
        <w:spacing w:before="240" w:after="240"/>
        <w:rPr>
          <w:rFonts w:ascii="Arial" w:hAnsi="Arial" w:cs="Arial"/>
          <w:color w:val="4F81BD" w:themeColor="accent1"/>
        </w:rPr>
      </w:pPr>
      <w:r>
        <w:rPr>
          <w:rFonts w:ascii="Arial" w:hAnsi="Arial" w:cs="Arial"/>
          <w:b/>
          <w:color w:val="4F81BD" w:themeColor="accent1"/>
        </w:rPr>
        <w:tab/>
        <w:t>ÚNICO</w:t>
      </w:r>
      <w:r w:rsidR="0011121B" w:rsidRPr="0011121B">
        <w:rPr>
          <w:rFonts w:ascii="Arial" w:hAnsi="Arial" w:cs="Arial"/>
          <w:b/>
          <w:color w:val="4F81BD" w:themeColor="accent1"/>
        </w:rPr>
        <w:t xml:space="preserve">. </w:t>
      </w:r>
      <w:r w:rsidR="0011121B" w:rsidRPr="0011121B">
        <w:rPr>
          <w:rFonts w:ascii="Arial" w:hAnsi="Arial" w:cs="Arial"/>
          <w:color w:val="4F81BD" w:themeColor="accent1"/>
        </w:rPr>
        <w:t xml:space="preserve">Se </w:t>
      </w:r>
      <w:r w:rsidR="0011121B" w:rsidRPr="0011121B">
        <w:rPr>
          <w:rFonts w:ascii="Arial" w:hAnsi="Arial" w:cs="Arial"/>
          <w:b/>
          <w:color w:val="4F81BD" w:themeColor="accent1"/>
        </w:rPr>
        <w:t>sobresee</w:t>
      </w:r>
      <w:r w:rsidR="0011121B" w:rsidRPr="0011121B">
        <w:rPr>
          <w:rFonts w:ascii="Arial" w:hAnsi="Arial" w:cs="Arial"/>
          <w:color w:val="4F81BD" w:themeColor="accent1"/>
        </w:rPr>
        <w:t xml:space="preserve"> la presente causa por las razones expuestas en el considerando tercero de la presente resolución.</w:t>
      </w:r>
    </w:p>
    <w:p w:rsidR="0011121B" w:rsidRPr="0011121B" w:rsidRDefault="0011121B" w:rsidP="0011121B">
      <w:pPr>
        <w:spacing w:before="240" w:after="240"/>
        <w:rPr>
          <w:rFonts w:ascii="Arial" w:hAnsi="Arial" w:cs="Arial"/>
          <w:b/>
          <w:color w:val="4F81BD" w:themeColor="accent1"/>
        </w:rPr>
      </w:pPr>
      <w:r w:rsidRPr="0011121B">
        <w:rPr>
          <w:rFonts w:ascii="Arial" w:hAnsi="Arial" w:cs="Arial"/>
          <w:b/>
          <w:color w:val="4F81BD" w:themeColor="accent1"/>
        </w:rPr>
        <w:tab/>
        <w:t>Notifíquese personalmente a las partes el contenido de la presente resolución, de conformidad con el artículo 177 de la Ley de Transparencia y Acceso a la Información Pública del Estado, en el entendido de que la notificación que se realice al sujeto obligado será acorde a lo señalado en el numeral 58 del citado ordenamiento.</w:t>
      </w:r>
    </w:p>
    <w:p w:rsidR="0011121B" w:rsidRPr="0011121B" w:rsidRDefault="0011121B" w:rsidP="00D42939">
      <w:pPr>
        <w:spacing w:before="240" w:after="240"/>
        <w:rPr>
          <w:rFonts w:ascii="Arial" w:hAnsi="Arial" w:cs="Arial"/>
          <w:b/>
          <w:color w:val="4F81BD" w:themeColor="accent1"/>
          <w:sz w:val="24"/>
          <w:lang w:val="es-MX"/>
        </w:rPr>
      </w:pPr>
      <w:r w:rsidRPr="0011121B">
        <w:rPr>
          <w:rFonts w:ascii="Arial" w:hAnsi="Arial" w:cs="Arial"/>
          <w:color w:val="4F81BD" w:themeColor="accent1"/>
        </w:rPr>
        <w:tab/>
        <w:t>Se hace de conocimiento del recurrente que, en caso de no estar de acuerdo con los términos de la presente resolución, podrá impugnar el presente fallo a través del Juicio de Amparo indirecto que promueva ante el Poder Judicial de la Federación. Lo anterior con fundamento en el artículo 159 de la Ley General de Transparencia y Acceso a la Información Pública.</w:t>
      </w:r>
    </w:p>
    <w:p w:rsidR="00D42939" w:rsidRPr="0011121B" w:rsidRDefault="00D42939" w:rsidP="0011121B">
      <w:pPr>
        <w:spacing w:before="240" w:after="240"/>
        <w:ind w:firstLine="708"/>
        <w:rPr>
          <w:rFonts w:ascii="Arial" w:hAnsi="Arial" w:cs="Arial"/>
          <w:b/>
          <w:color w:val="4F81BD" w:themeColor="accent1"/>
          <w:sz w:val="24"/>
          <w:lang w:val="es-MX"/>
        </w:rPr>
      </w:pPr>
      <w:r w:rsidRPr="0011121B">
        <w:rPr>
          <w:rFonts w:ascii="Arial" w:hAnsi="Arial" w:cs="Arial"/>
          <w:color w:val="4F81BD" w:themeColor="accent1"/>
        </w:rPr>
        <w:t xml:space="preserve">Así lo resuelve, por unanimidad de votos, el pleno de la Comisión Estatal de Garantía de Acceso a la Información Pública, conformado por los Comisionados  Alejando Lafuente Torres, Paulina Sánchez Pérez del Pozo y Claudia Elizabeth Ávalos Cedillo, </w:t>
      </w:r>
      <w:r w:rsidR="00C2400A">
        <w:rPr>
          <w:rFonts w:ascii="Arial" w:hAnsi="Arial" w:cs="Arial"/>
          <w:color w:val="4F81BD" w:themeColor="accent1"/>
        </w:rPr>
        <w:t xml:space="preserve">siendo ponente la última de los nombrados </w:t>
      </w:r>
      <w:r w:rsidRPr="0011121B">
        <w:rPr>
          <w:rFonts w:ascii="Arial" w:hAnsi="Arial" w:cs="Arial"/>
          <w:color w:val="4F81BD" w:themeColor="accent1"/>
        </w:rPr>
        <w:t xml:space="preserve">en la sesión </w:t>
      </w:r>
      <w:r w:rsidR="007C1555" w:rsidRPr="0011121B">
        <w:rPr>
          <w:rFonts w:ascii="Arial" w:hAnsi="Arial" w:cs="Arial"/>
          <w:color w:val="4F81BD" w:themeColor="accent1"/>
        </w:rPr>
        <w:t>ordinaria</w:t>
      </w:r>
      <w:r w:rsidRPr="0011121B">
        <w:rPr>
          <w:rFonts w:ascii="Arial" w:hAnsi="Arial" w:cs="Arial"/>
          <w:color w:val="4F81BD" w:themeColor="accent1"/>
        </w:rPr>
        <w:t xml:space="preserve"> del siete de </w:t>
      </w:r>
      <w:r w:rsidR="0011121B" w:rsidRPr="0011121B">
        <w:rPr>
          <w:rFonts w:ascii="Arial" w:hAnsi="Arial" w:cs="Arial"/>
          <w:color w:val="4F81BD" w:themeColor="accent1"/>
        </w:rPr>
        <w:t>marzo de dos mil dieciocho</w:t>
      </w:r>
      <w:r w:rsidRPr="0011121B">
        <w:rPr>
          <w:rFonts w:ascii="Arial" w:hAnsi="Arial" w:cs="Arial"/>
          <w:color w:val="4F81BD" w:themeColor="accent1"/>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D42939" w:rsidRPr="0011121B" w:rsidTr="001577FB">
        <w:tc>
          <w:tcPr>
            <w:tcW w:w="4219" w:type="dxa"/>
          </w:tcPr>
          <w:p w:rsidR="00D42939" w:rsidRPr="0011121B" w:rsidRDefault="00D42939" w:rsidP="001577FB">
            <w:pPr>
              <w:spacing w:after="240"/>
              <w:jc w:val="center"/>
              <w:rPr>
                <w:rFonts w:ascii="Arial" w:hAnsi="Arial" w:cs="Arial"/>
                <w:b/>
                <w:color w:val="4F81BD" w:themeColor="accent1"/>
                <w:sz w:val="24"/>
                <w:szCs w:val="26"/>
              </w:rPr>
            </w:pPr>
            <w:r w:rsidRPr="0011121B">
              <w:rPr>
                <w:rFonts w:ascii="Arial" w:hAnsi="Arial" w:cs="Arial"/>
                <w:b/>
                <w:color w:val="4F81BD" w:themeColor="accent1"/>
                <w:sz w:val="24"/>
                <w:szCs w:val="26"/>
              </w:rPr>
              <w:lastRenderedPageBreak/>
              <w:t>COMISIONADO PRESIDENTE</w:t>
            </w:r>
          </w:p>
          <w:p w:rsidR="00D42939" w:rsidRPr="0011121B" w:rsidRDefault="00D42939" w:rsidP="001577FB">
            <w:pPr>
              <w:spacing w:before="240" w:after="240"/>
              <w:jc w:val="center"/>
              <w:rPr>
                <w:rFonts w:ascii="Arial" w:hAnsi="Arial" w:cs="Arial"/>
                <w:b/>
                <w:color w:val="4F81BD" w:themeColor="accent1"/>
                <w:sz w:val="24"/>
                <w:szCs w:val="26"/>
              </w:rPr>
            </w:pPr>
          </w:p>
          <w:p w:rsidR="00D42939" w:rsidRPr="0011121B" w:rsidRDefault="00D42939" w:rsidP="001577FB">
            <w:pPr>
              <w:spacing w:before="240" w:after="240"/>
              <w:jc w:val="center"/>
              <w:rPr>
                <w:rFonts w:ascii="Arial" w:hAnsi="Arial" w:cs="Arial"/>
                <w:color w:val="4F81BD" w:themeColor="accent1"/>
              </w:rPr>
            </w:pPr>
            <w:r w:rsidRPr="0011121B">
              <w:rPr>
                <w:rFonts w:ascii="Arial" w:hAnsi="Arial" w:cs="Arial"/>
                <w:b/>
                <w:color w:val="4F81BD" w:themeColor="accent1"/>
                <w:sz w:val="24"/>
                <w:szCs w:val="26"/>
              </w:rPr>
              <w:t>ALEJANDRO LAFUENTE TORRES</w:t>
            </w:r>
          </w:p>
        </w:tc>
        <w:tc>
          <w:tcPr>
            <w:tcW w:w="4678" w:type="dxa"/>
          </w:tcPr>
          <w:p w:rsidR="00D42939" w:rsidRPr="0011121B" w:rsidRDefault="00D42939" w:rsidP="001577FB">
            <w:pPr>
              <w:spacing w:after="240"/>
              <w:ind w:left="48"/>
              <w:jc w:val="center"/>
              <w:rPr>
                <w:rFonts w:ascii="Arial" w:hAnsi="Arial" w:cs="Arial"/>
                <w:b/>
                <w:color w:val="4F81BD" w:themeColor="accent1"/>
                <w:sz w:val="24"/>
                <w:szCs w:val="26"/>
              </w:rPr>
            </w:pPr>
            <w:r w:rsidRPr="0011121B">
              <w:rPr>
                <w:rFonts w:ascii="Arial" w:hAnsi="Arial" w:cs="Arial"/>
                <w:b/>
                <w:color w:val="4F81BD" w:themeColor="accent1"/>
                <w:sz w:val="24"/>
                <w:szCs w:val="26"/>
              </w:rPr>
              <w:t>COMISIONADA</w:t>
            </w:r>
          </w:p>
          <w:p w:rsidR="00D42939" w:rsidRPr="0011121B" w:rsidRDefault="00D42939" w:rsidP="001577FB">
            <w:pPr>
              <w:spacing w:before="240" w:after="240"/>
              <w:jc w:val="center"/>
              <w:rPr>
                <w:rFonts w:ascii="Arial" w:hAnsi="Arial" w:cs="Arial"/>
                <w:b/>
                <w:color w:val="4F81BD" w:themeColor="accent1"/>
                <w:sz w:val="24"/>
                <w:szCs w:val="26"/>
              </w:rPr>
            </w:pPr>
          </w:p>
          <w:p w:rsidR="00D42939" w:rsidRPr="0011121B" w:rsidRDefault="00D42939" w:rsidP="001577FB">
            <w:pPr>
              <w:spacing w:before="240" w:after="240"/>
              <w:jc w:val="center"/>
              <w:rPr>
                <w:rFonts w:ascii="Arial" w:hAnsi="Arial" w:cs="Arial"/>
                <w:b/>
                <w:color w:val="4F81BD" w:themeColor="accent1"/>
                <w:sz w:val="24"/>
                <w:szCs w:val="26"/>
              </w:rPr>
            </w:pPr>
            <w:r w:rsidRPr="0011121B">
              <w:rPr>
                <w:rFonts w:ascii="Arial" w:hAnsi="Arial" w:cs="Arial"/>
                <w:b/>
                <w:color w:val="4F81BD" w:themeColor="accent1"/>
                <w:sz w:val="24"/>
                <w:szCs w:val="26"/>
              </w:rPr>
              <w:t>PAULINA SÁNCHEZ PÉREZ DEL POZO</w:t>
            </w:r>
          </w:p>
          <w:p w:rsidR="00D42939" w:rsidRPr="0011121B" w:rsidRDefault="00D42939" w:rsidP="001577FB">
            <w:pPr>
              <w:spacing w:before="240" w:after="240"/>
              <w:jc w:val="center"/>
              <w:rPr>
                <w:rFonts w:ascii="Arial" w:hAnsi="Arial" w:cs="Arial"/>
                <w:color w:val="4F81BD" w:themeColor="accent1"/>
              </w:rPr>
            </w:pPr>
          </w:p>
        </w:tc>
      </w:tr>
      <w:tr w:rsidR="00D42939" w:rsidRPr="0011121B" w:rsidTr="001577FB">
        <w:trPr>
          <w:trHeight w:val="2075"/>
        </w:trPr>
        <w:tc>
          <w:tcPr>
            <w:tcW w:w="4219" w:type="dxa"/>
          </w:tcPr>
          <w:p w:rsidR="00D42939" w:rsidRPr="0011121B" w:rsidRDefault="00D42939" w:rsidP="001577FB">
            <w:pPr>
              <w:spacing w:after="240" w:line="276" w:lineRule="auto"/>
              <w:jc w:val="center"/>
              <w:rPr>
                <w:rFonts w:ascii="Arial" w:hAnsi="Arial" w:cs="Arial"/>
                <w:b/>
                <w:color w:val="4F81BD" w:themeColor="accent1"/>
                <w:sz w:val="24"/>
                <w:szCs w:val="26"/>
              </w:rPr>
            </w:pPr>
            <w:r w:rsidRPr="0011121B">
              <w:rPr>
                <w:rFonts w:ascii="Arial" w:hAnsi="Arial" w:cs="Arial"/>
                <w:b/>
                <w:color w:val="4F81BD" w:themeColor="accent1"/>
                <w:sz w:val="24"/>
                <w:szCs w:val="26"/>
              </w:rPr>
              <w:t>COMISIONADA</w:t>
            </w:r>
          </w:p>
          <w:p w:rsidR="00D42939" w:rsidRPr="0011121B" w:rsidRDefault="00D42939" w:rsidP="001577FB">
            <w:pPr>
              <w:spacing w:line="276" w:lineRule="auto"/>
              <w:rPr>
                <w:rFonts w:ascii="Arial" w:hAnsi="Arial" w:cs="Arial"/>
                <w:b/>
                <w:color w:val="4F81BD" w:themeColor="accent1"/>
                <w:sz w:val="24"/>
                <w:szCs w:val="26"/>
              </w:rPr>
            </w:pPr>
          </w:p>
          <w:p w:rsidR="00D42939" w:rsidRPr="0011121B" w:rsidRDefault="00D42939" w:rsidP="001577FB">
            <w:pPr>
              <w:rPr>
                <w:rFonts w:ascii="Arial" w:hAnsi="Arial" w:cs="Arial"/>
                <w:b/>
                <w:color w:val="4F81BD" w:themeColor="accent1"/>
                <w:sz w:val="24"/>
                <w:szCs w:val="26"/>
              </w:rPr>
            </w:pPr>
          </w:p>
          <w:p w:rsidR="00D42939" w:rsidRPr="0011121B" w:rsidRDefault="00D42939" w:rsidP="001577FB">
            <w:pPr>
              <w:spacing w:before="240" w:after="240" w:line="276" w:lineRule="auto"/>
              <w:jc w:val="center"/>
              <w:rPr>
                <w:rFonts w:ascii="Arial" w:hAnsi="Arial" w:cs="Arial"/>
                <w:color w:val="4F81BD" w:themeColor="accent1"/>
              </w:rPr>
            </w:pPr>
            <w:r w:rsidRPr="0011121B">
              <w:rPr>
                <w:rFonts w:ascii="Arial" w:hAnsi="Arial" w:cs="Arial"/>
                <w:b/>
                <w:color w:val="4F81BD" w:themeColor="accent1"/>
                <w:sz w:val="24"/>
                <w:szCs w:val="26"/>
              </w:rPr>
              <w:t>CLAUDIA ELIZABETH ÁVALOS CEDILLO</w:t>
            </w:r>
          </w:p>
        </w:tc>
        <w:tc>
          <w:tcPr>
            <w:tcW w:w="4678" w:type="dxa"/>
          </w:tcPr>
          <w:p w:rsidR="00D42939" w:rsidRPr="0011121B" w:rsidRDefault="00D42939" w:rsidP="001577FB">
            <w:pPr>
              <w:ind w:left="48" w:firstLine="2"/>
              <w:jc w:val="center"/>
              <w:rPr>
                <w:rFonts w:ascii="Arial" w:hAnsi="Arial" w:cs="Arial"/>
                <w:b/>
                <w:color w:val="4F81BD" w:themeColor="accent1"/>
                <w:sz w:val="24"/>
                <w:szCs w:val="26"/>
              </w:rPr>
            </w:pPr>
            <w:r w:rsidRPr="0011121B">
              <w:rPr>
                <w:rFonts w:ascii="Arial" w:hAnsi="Arial" w:cs="Arial"/>
                <w:b/>
                <w:color w:val="4F81BD" w:themeColor="accent1"/>
                <w:sz w:val="24"/>
                <w:szCs w:val="26"/>
              </w:rPr>
              <w:t>SECRETARIA DE PLENO</w:t>
            </w:r>
          </w:p>
          <w:p w:rsidR="00D42939" w:rsidRPr="0011121B" w:rsidRDefault="00D42939" w:rsidP="001577FB">
            <w:pPr>
              <w:ind w:left="48"/>
              <w:jc w:val="center"/>
              <w:rPr>
                <w:rFonts w:ascii="Arial" w:hAnsi="Arial" w:cs="Arial"/>
                <w:b/>
                <w:color w:val="4F81BD" w:themeColor="accent1"/>
                <w:sz w:val="24"/>
                <w:szCs w:val="26"/>
              </w:rPr>
            </w:pPr>
          </w:p>
          <w:p w:rsidR="00D42939" w:rsidRPr="0011121B" w:rsidRDefault="00D42939" w:rsidP="001577FB">
            <w:pPr>
              <w:spacing w:before="240"/>
              <w:rPr>
                <w:rFonts w:ascii="Arial" w:hAnsi="Arial" w:cs="Arial"/>
                <w:b/>
                <w:color w:val="4F81BD" w:themeColor="accent1"/>
                <w:sz w:val="24"/>
                <w:szCs w:val="26"/>
              </w:rPr>
            </w:pPr>
          </w:p>
          <w:p w:rsidR="00D42939" w:rsidRPr="0011121B" w:rsidRDefault="00D42939" w:rsidP="001577FB">
            <w:pPr>
              <w:ind w:left="48"/>
              <w:jc w:val="center"/>
              <w:rPr>
                <w:rFonts w:ascii="Arial" w:hAnsi="Arial" w:cs="Arial"/>
                <w:b/>
                <w:color w:val="4F81BD" w:themeColor="accent1"/>
                <w:sz w:val="24"/>
                <w:szCs w:val="26"/>
              </w:rPr>
            </w:pPr>
            <w:r w:rsidRPr="0011121B">
              <w:rPr>
                <w:rFonts w:ascii="Arial" w:hAnsi="Arial" w:cs="Arial"/>
                <w:b/>
                <w:color w:val="4F81BD" w:themeColor="accent1"/>
                <w:sz w:val="24"/>
                <w:szCs w:val="26"/>
              </w:rPr>
              <w:t>ROSA MARÍA MOTILLA GARCÍA</w:t>
            </w:r>
          </w:p>
        </w:tc>
      </w:tr>
    </w:tbl>
    <w:tbl>
      <w:tblPr>
        <w:tblW w:w="10613" w:type="dxa"/>
        <w:jc w:val="center"/>
        <w:tblLook w:val="01E0"/>
      </w:tblPr>
      <w:tblGrid>
        <w:gridCol w:w="4880"/>
        <w:gridCol w:w="358"/>
        <w:gridCol w:w="5375"/>
      </w:tblGrid>
      <w:tr w:rsidR="00D42939" w:rsidRPr="0011121B" w:rsidTr="007C1555">
        <w:trPr>
          <w:trHeight w:val="80"/>
          <w:jc w:val="center"/>
        </w:trPr>
        <w:tc>
          <w:tcPr>
            <w:tcW w:w="4880" w:type="dxa"/>
          </w:tcPr>
          <w:p w:rsidR="00D42939" w:rsidRPr="0011121B" w:rsidRDefault="00D42939" w:rsidP="001577FB">
            <w:pPr>
              <w:ind w:left="97"/>
              <w:jc w:val="center"/>
              <w:rPr>
                <w:rFonts w:ascii="Arial" w:hAnsi="Arial" w:cs="Arial"/>
                <w:b/>
                <w:color w:val="4F81BD" w:themeColor="accent1"/>
                <w:szCs w:val="26"/>
              </w:rPr>
            </w:pPr>
          </w:p>
        </w:tc>
        <w:tc>
          <w:tcPr>
            <w:tcW w:w="358" w:type="dxa"/>
          </w:tcPr>
          <w:p w:rsidR="00D42939" w:rsidRPr="0011121B" w:rsidRDefault="00D42939" w:rsidP="001577FB">
            <w:pPr>
              <w:ind w:left="360" w:firstLine="708"/>
              <w:jc w:val="center"/>
              <w:rPr>
                <w:rFonts w:ascii="Arial" w:hAnsi="Arial" w:cs="Arial"/>
                <w:b/>
                <w:color w:val="4F81BD" w:themeColor="accent1"/>
                <w:szCs w:val="26"/>
              </w:rPr>
            </w:pPr>
          </w:p>
        </w:tc>
        <w:tc>
          <w:tcPr>
            <w:tcW w:w="5375" w:type="dxa"/>
          </w:tcPr>
          <w:p w:rsidR="00D42939" w:rsidRPr="0011121B" w:rsidRDefault="00D42939" w:rsidP="001577FB">
            <w:pPr>
              <w:jc w:val="center"/>
              <w:rPr>
                <w:rFonts w:ascii="Arial" w:hAnsi="Arial" w:cs="Arial"/>
                <w:b/>
                <w:color w:val="4F81BD" w:themeColor="accent1"/>
                <w:szCs w:val="26"/>
              </w:rPr>
            </w:pPr>
          </w:p>
        </w:tc>
      </w:tr>
    </w:tbl>
    <w:p w:rsidR="00D42939" w:rsidRPr="0011121B" w:rsidRDefault="00D42939" w:rsidP="00D42939">
      <w:pPr>
        <w:spacing w:after="240" w:line="240" w:lineRule="auto"/>
        <w:rPr>
          <w:rFonts w:ascii="Arial" w:hAnsi="Arial" w:cs="Arial"/>
          <w:i/>
          <w:color w:val="4F81BD" w:themeColor="accent1"/>
          <w:sz w:val="18"/>
        </w:rPr>
      </w:pPr>
      <w:r w:rsidRPr="0011121B">
        <w:rPr>
          <w:rFonts w:ascii="Arial" w:hAnsi="Arial" w:cs="Arial"/>
          <w:color w:val="4F81BD" w:themeColor="accent1"/>
          <w:sz w:val="18"/>
        </w:rPr>
        <w:tab/>
      </w:r>
      <w:r w:rsidRPr="0011121B">
        <w:rPr>
          <w:rFonts w:ascii="Arial" w:hAnsi="Arial" w:cs="Arial"/>
          <w:i/>
          <w:color w:val="4F81BD" w:themeColor="accent1"/>
          <w:sz w:val="18"/>
        </w:rPr>
        <w:t xml:space="preserve">Estas firmas pertenecen a la última foja de la resolución pronunciada </w:t>
      </w:r>
      <w:r w:rsidR="00A60C2F" w:rsidRPr="0011121B">
        <w:rPr>
          <w:rFonts w:ascii="Arial" w:hAnsi="Arial" w:cs="Arial"/>
          <w:i/>
          <w:color w:val="4F81BD" w:themeColor="accent1"/>
          <w:sz w:val="18"/>
        </w:rPr>
        <w:t>en el</w:t>
      </w:r>
      <w:r w:rsidR="0011121B" w:rsidRPr="0011121B">
        <w:rPr>
          <w:rFonts w:ascii="Arial" w:hAnsi="Arial" w:cs="Arial"/>
          <w:i/>
          <w:color w:val="4F81BD" w:themeColor="accent1"/>
          <w:sz w:val="18"/>
        </w:rPr>
        <w:t xml:space="preserve"> recurso de revisión  042/2018</w:t>
      </w:r>
      <w:r w:rsidRPr="0011121B">
        <w:rPr>
          <w:rFonts w:ascii="Arial" w:hAnsi="Arial" w:cs="Arial"/>
          <w:i/>
          <w:color w:val="4F81BD" w:themeColor="accent1"/>
          <w:sz w:val="18"/>
        </w:rPr>
        <w:t xml:space="preserve">-3 aprobada en sesión </w:t>
      </w:r>
      <w:r w:rsidR="0011121B" w:rsidRPr="0011121B">
        <w:rPr>
          <w:rFonts w:ascii="Arial" w:hAnsi="Arial" w:cs="Arial"/>
          <w:i/>
          <w:color w:val="4F81BD" w:themeColor="accent1"/>
          <w:sz w:val="18"/>
        </w:rPr>
        <w:t>extra</w:t>
      </w:r>
      <w:r w:rsidR="007C1555" w:rsidRPr="0011121B">
        <w:rPr>
          <w:rFonts w:ascii="Arial" w:hAnsi="Arial" w:cs="Arial"/>
          <w:i/>
          <w:color w:val="4F81BD" w:themeColor="accent1"/>
          <w:sz w:val="18"/>
        </w:rPr>
        <w:t>ordinaria</w:t>
      </w:r>
      <w:r w:rsidRPr="0011121B">
        <w:rPr>
          <w:rFonts w:ascii="Arial" w:hAnsi="Arial" w:cs="Arial"/>
          <w:i/>
          <w:color w:val="4F81BD" w:themeColor="accent1"/>
          <w:sz w:val="18"/>
        </w:rPr>
        <w:t xml:space="preserve"> del siete de </w:t>
      </w:r>
      <w:r w:rsidR="0011121B" w:rsidRPr="0011121B">
        <w:rPr>
          <w:rFonts w:ascii="Arial" w:hAnsi="Arial" w:cs="Arial"/>
          <w:i/>
          <w:color w:val="4F81BD" w:themeColor="accent1"/>
          <w:sz w:val="18"/>
        </w:rPr>
        <w:t>marzo de dos mil dieciocho</w:t>
      </w:r>
      <w:r w:rsidRPr="0011121B">
        <w:rPr>
          <w:rFonts w:ascii="Arial" w:hAnsi="Arial" w:cs="Arial"/>
          <w:i/>
          <w:color w:val="4F81BD" w:themeColor="accent1"/>
          <w:sz w:val="18"/>
        </w:rPr>
        <w:t>.</w:t>
      </w:r>
    </w:p>
    <w:p w:rsidR="00D42939" w:rsidRPr="0011121B" w:rsidRDefault="00D42939" w:rsidP="00D42939">
      <w:pPr>
        <w:spacing w:after="240" w:line="240" w:lineRule="auto"/>
        <w:rPr>
          <w:rFonts w:ascii="Arial" w:hAnsi="Arial" w:cs="Arial"/>
          <w:color w:val="4F81BD" w:themeColor="accent1"/>
          <w:sz w:val="18"/>
        </w:rPr>
      </w:pPr>
      <w:r w:rsidRPr="0011121B">
        <w:rPr>
          <w:rFonts w:ascii="Arial" w:hAnsi="Arial" w:cs="Arial"/>
          <w:i/>
          <w:color w:val="4F81BD" w:themeColor="accent1"/>
          <w:sz w:val="18"/>
        </w:rPr>
        <w:t>Elaboró y Cotejó</w:t>
      </w:r>
      <w:r w:rsidRPr="0011121B">
        <w:rPr>
          <w:rFonts w:ascii="Arial" w:hAnsi="Arial" w:cs="Arial"/>
          <w:color w:val="4F81BD" w:themeColor="accent1"/>
          <w:sz w:val="18"/>
        </w:rPr>
        <w:t xml:space="preserve">: </w:t>
      </w:r>
    </w:p>
    <w:p w:rsidR="00D42939" w:rsidRPr="0011121B" w:rsidRDefault="0011121B" w:rsidP="00D42939">
      <w:pPr>
        <w:spacing w:after="240" w:line="240" w:lineRule="auto"/>
        <w:rPr>
          <w:rFonts w:ascii="Arial" w:hAnsi="Arial" w:cs="Arial"/>
          <w:i/>
          <w:color w:val="4F81BD" w:themeColor="accent1"/>
        </w:rPr>
      </w:pPr>
      <w:r w:rsidRPr="0011121B">
        <w:rPr>
          <w:rFonts w:ascii="Arial" w:hAnsi="Arial" w:cs="Arial"/>
          <w:i/>
          <w:color w:val="4F81BD" w:themeColor="accent1"/>
          <w:sz w:val="18"/>
        </w:rPr>
        <w:t>ABCR</w:t>
      </w:r>
      <w:r w:rsidR="00D42939" w:rsidRPr="0011121B">
        <w:rPr>
          <w:rFonts w:ascii="Arial" w:hAnsi="Arial" w:cs="Arial"/>
          <w:i/>
          <w:color w:val="4F81BD" w:themeColor="accent1"/>
        </w:rPr>
        <w:tab/>
      </w:r>
    </w:p>
    <w:p w:rsidR="003709F8" w:rsidRPr="0011121B" w:rsidRDefault="003709F8">
      <w:pPr>
        <w:rPr>
          <w:rFonts w:ascii="Arial" w:hAnsi="Arial" w:cs="Arial"/>
          <w:color w:val="4F81BD" w:themeColor="accent1"/>
        </w:rPr>
      </w:pPr>
    </w:p>
    <w:sectPr w:rsidR="003709F8" w:rsidRPr="0011121B" w:rsidSect="007C1555">
      <w:headerReference w:type="even" r:id="rId8"/>
      <w:headerReference w:type="default" r:id="rId9"/>
      <w:headerReference w:type="first" r:id="rId10"/>
      <w:pgSz w:w="12240" w:h="20160" w:code="5"/>
      <w:pgMar w:top="2665" w:right="851" w:bottom="1871"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72D" w:rsidRDefault="000A072D" w:rsidP="00D42939">
      <w:pPr>
        <w:spacing w:line="240" w:lineRule="auto"/>
      </w:pPr>
      <w:r>
        <w:separator/>
      </w:r>
    </w:p>
  </w:endnote>
  <w:endnote w:type="continuationSeparator" w:id="0">
    <w:p w:rsidR="000A072D" w:rsidRDefault="000A072D" w:rsidP="00D4293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72D" w:rsidRDefault="000A072D" w:rsidP="00D42939">
      <w:pPr>
        <w:spacing w:line="240" w:lineRule="auto"/>
      </w:pPr>
      <w:r>
        <w:separator/>
      </w:r>
    </w:p>
  </w:footnote>
  <w:footnote w:type="continuationSeparator" w:id="0">
    <w:p w:rsidR="000A072D" w:rsidRDefault="000A072D" w:rsidP="00D42939">
      <w:pPr>
        <w:spacing w:line="240" w:lineRule="auto"/>
      </w:pPr>
      <w:r>
        <w:continuationSeparator/>
      </w:r>
    </w:p>
  </w:footnote>
  <w:footnote w:id="1">
    <w:p w:rsidR="0011121B" w:rsidRPr="00C2400A" w:rsidRDefault="0011121B" w:rsidP="0011121B">
      <w:pPr>
        <w:pStyle w:val="Textonotapie"/>
        <w:rPr>
          <w:rFonts w:ascii="Arial" w:hAnsi="Arial" w:cs="Arial"/>
          <w:color w:val="4F81BD" w:themeColor="accent1"/>
        </w:rPr>
      </w:pPr>
      <w:r w:rsidRPr="00C350A6">
        <w:rPr>
          <w:rStyle w:val="Refdenotaalpie"/>
          <w:rFonts w:ascii="Arial" w:hAnsi="Arial" w:cs="Arial"/>
        </w:rPr>
        <w:footnoteRef/>
      </w:r>
      <w:r w:rsidRPr="00C350A6">
        <w:rPr>
          <w:rFonts w:ascii="Arial" w:hAnsi="Arial" w:cs="Arial"/>
        </w:rPr>
        <w:t xml:space="preserve"> </w:t>
      </w:r>
      <w:r w:rsidRPr="00C2400A">
        <w:rPr>
          <w:rFonts w:ascii="Arial" w:hAnsi="Arial" w:cs="Arial"/>
          <w:color w:val="4F81BD" w:themeColor="accent1"/>
        </w:rPr>
        <w:t xml:space="preserve">Tercer Tribunal Colegiado del Segundo Circuito. Semanario Judicial de la Federación que comprende los años de </w:t>
      </w:r>
      <w:smartTag w:uri="urn:schemas-microsoft-com:office:smarttags" w:element="metricconverter">
        <w:smartTagPr>
          <w:attr w:name="ProductID" w:val="1917 a"/>
        </w:smartTagPr>
        <w:r w:rsidRPr="00C2400A">
          <w:rPr>
            <w:rFonts w:ascii="Arial" w:hAnsi="Arial" w:cs="Arial"/>
            <w:color w:val="4F81BD" w:themeColor="accent1"/>
          </w:rPr>
          <w:t>1917 a</w:t>
        </w:r>
      </w:smartTag>
      <w:r w:rsidRPr="00C2400A">
        <w:rPr>
          <w:rFonts w:ascii="Arial" w:hAnsi="Arial" w:cs="Arial"/>
          <w:color w:val="4F81BD" w:themeColor="accent1"/>
        </w:rPr>
        <w:t xml:space="preserve"> 1995, tomo VI, materia común, página 708.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8452A0" w:rsidRDefault="00F15ADB">
        <w:pPr>
          <w:pStyle w:val="Encabezado"/>
          <w:jc w:val="center"/>
        </w:pPr>
        <w:r>
          <w:fldChar w:fldCharType="begin"/>
        </w:r>
        <w:r w:rsidR="00EA01A7">
          <w:instrText xml:space="preserve"> PAGE   \* MERGEFORMAT </w:instrText>
        </w:r>
        <w:r>
          <w:fldChar w:fldCharType="separate"/>
        </w:r>
        <w:r w:rsidR="00AA6552">
          <w:rPr>
            <w:noProof/>
          </w:rPr>
          <w:t>8</w:t>
        </w:r>
        <w:r>
          <w:fldChar w:fldCharType="end"/>
        </w:r>
      </w:p>
    </w:sdtContent>
  </w:sdt>
  <w:p w:rsidR="008452A0" w:rsidRDefault="0011121B">
    <w:pPr>
      <w:pStyle w:val="Encabezado"/>
    </w:pPr>
    <w:r>
      <w:t>CEGAIP-RR-042</w:t>
    </w:r>
    <w:r w:rsidR="00EA01A7">
      <w:t>/2</w:t>
    </w:r>
    <w:r>
      <w:t>018</w:t>
    </w:r>
    <w:r w:rsidR="00EA01A7">
      <w:t>-3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8452A0" w:rsidRDefault="00F15ADB">
        <w:pPr>
          <w:pStyle w:val="Encabezado"/>
          <w:jc w:val="center"/>
        </w:pPr>
        <w:r>
          <w:fldChar w:fldCharType="begin"/>
        </w:r>
        <w:r w:rsidR="00EA01A7">
          <w:instrText xml:space="preserve"> PAGE   \* MERGEFORMAT </w:instrText>
        </w:r>
        <w:r>
          <w:fldChar w:fldCharType="separate"/>
        </w:r>
        <w:r w:rsidR="00AA6552">
          <w:rPr>
            <w:noProof/>
          </w:rPr>
          <w:t>7</w:t>
        </w:r>
        <w:r>
          <w:fldChar w:fldCharType="end"/>
        </w:r>
      </w:p>
    </w:sdtContent>
  </w:sdt>
  <w:p w:rsidR="008452A0" w:rsidRPr="00EE69A4" w:rsidRDefault="00DF2FB1">
    <w:pPr>
      <w:pStyle w:val="Encabezado"/>
      <w:rPr>
        <w:lang w:val="es-MX"/>
      </w:rPr>
    </w:pPr>
    <w:r>
      <w:rPr>
        <w:lang w:val="es-MX"/>
      </w:rPr>
      <w:t>CEGAIP-RR-042/2018</w:t>
    </w:r>
    <w:r w:rsidR="00EA01A7">
      <w:rPr>
        <w:lang w:val="es-MX"/>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8452A0" w:rsidRDefault="00F15ADB">
        <w:pPr>
          <w:pStyle w:val="Encabezado"/>
          <w:jc w:val="center"/>
        </w:pPr>
        <w:r>
          <w:fldChar w:fldCharType="begin"/>
        </w:r>
        <w:r w:rsidR="00EA01A7">
          <w:instrText xml:space="preserve"> PAGE   \* MERGEFORMAT </w:instrText>
        </w:r>
        <w:r>
          <w:fldChar w:fldCharType="separate"/>
        </w:r>
        <w:r w:rsidR="00AA6552">
          <w:rPr>
            <w:noProof/>
          </w:rPr>
          <w:t>1</w:t>
        </w:r>
        <w:r>
          <w:fldChar w:fldCharType="end"/>
        </w:r>
      </w:p>
    </w:sdtContent>
  </w:sdt>
  <w:p w:rsidR="008452A0" w:rsidRDefault="000A072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evenAndOddHeaders/>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D42939"/>
    <w:rsid w:val="000177DD"/>
    <w:rsid w:val="0004309F"/>
    <w:rsid w:val="00072B19"/>
    <w:rsid w:val="000A072D"/>
    <w:rsid w:val="000C0D7E"/>
    <w:rsid w:val="0011121B"/>
    <w:rsid w:val="00160832"/>
    <w:rsid w:val="001853D2"/>
    <w:rsid w:val="001B0E31"/>
    <w:rsid w:val="00271E4B"/>
    <w:rsid w:val="002C476E"/>
    <w:rsid w:val="0036724E"/>
    <w:rsid w:val="003709F8"/>
    <w:rsid w:val="004F5281"/>
    <w:rsid w:val="005B2591"/>
    <w:rsid w:val="00664CDE"/>
    <w:rsid w:val="006D538B"/>
    <w:rsid w:val="006F3F4F"/>
    <w:rsid w:val="00792D04"/>
    <w:rsid w:val="007C1555"/>
    <w:rsid w:val="007E10ED"/>
    <w:rsid w:val="007E751C"/>
    <w:rsid w:val="0086230F"/>
    <w:rsid w:val="008B6B75"/>
    <w:rsid w:val="00A12D2C"/>
    <w:rsid w:val="00A60C2F"/>
    <w:rsid w:val="00AA6552"/>
    <w:rsid w:val="00B25E1D"/>
    <w:rsid w:val="00B722A5"/>
    <w:rsid w:val="00BD3B14"/>
    <w:rsid w:val="00C2400A"/>
    <w:rsid w:val="00D42939"/>
    <w:rsid w:val="00DC77AB"/>
    <w:rsid w:val="00DF2FB1"/>
    <w:rsid w:val="00E23E5A"/>
    <w:rsid w:val="00E8120F"/>
    <w:rsid w:val="00EA01A7"/>
    <w:rsid w:val="00ED06E7"/>
    <w:rsid w:val="00ED6686"/>
    <w:rsid w:val="00F15ADB"/>
    <w:rsid w:val="00F31B0D"/>
    <w:rsid w:val="00F517E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D42939"/>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D42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D42939"/>
    <w:pPr>
      <w:spacing w:after="120"/>
    </w:pPr>
  </w:style>
  <w:style w:type="character" w:customStyle="1" w:styleId="TextoindependienteCar">
    <w:name w:val="Texto independiente Car"/>
    <w:basedOn w:val="Fuentedeprrafopredeter"/>
    <w:link w:val="Textoindependiente"/>
    <w:uiPriority w:val="99"/>
    <w:semiHidden/>
    <w:rsid w:val="00D42939"/>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D42939"/>
    <w:pPr>
      <w:ind w:firstLine="210"/>
    </w:pPr>
  </w:style>
  <w:style w:type="character" w:customStyle="1" w:styleId="TextoindependienteprimerasangraCar">
    <w:name w:val="Texto independiente primera sangría Car"/>
    <w:basedOn w:val="TextoindependienteCar"/>
    <w:link w:val="Textoindependienteprimerasangra"/>
    <w:rsid w:val="00D42939"/>
  </w:style>
  <w:style w:type="paragraph" w:styleId="Prrafodelista">
    <w:name w:val="List Paragraph"/>
    <w:basedOn w:val="Normal"/>
    <w:uiPriority w:val="34"/>
    <w:qFormat/>
    <w:rsid w:val="00D42939"/>
    <w:pPr>
      <w:ind w:left="720"/>
      <w:contextualSpacing/>
    </w:pPr>
  </w:style>
  <w:style w:type="character" w:customStyle="1" w:styleId="apple-converted-space">
    <w:name w:val="apple-converted-space"/>
    <w:basedOn w:val="Fuentedeprrafopredeter"/>
    <w:rsid w:val="00D42939"/>
  </w:style>
  <w:style w:type="paragraph" w:styleId="Encabezado">
    <w:name w:val="header"/>
    <w:basedOn w:val="Normal"/>
    <w:link w:val="EncabezadoCar"/>
    <w:uiPriority w:val="99"/>
    <w:unhideWhenUsed/>
    <w:rsid w:val="00D4293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42939"/>
    <w:rPr>
      <w:rFonts w:cs="Times New Roman"/>
      <w:sz w:val="26"/>
      <w:szCs w:val="24"/>
      <w:lang w:val="es-ES" w:eastAsia="es-ES"/>
    </w:rPr>
  </w:style>
  <w:style w:type="paragraph" w:styleId="Piedepgina">
    <w:name w:val="footer"/>
    <w:basedOn w:val="Normal"/>
    <w:link w:val="PiedepginaCar"/>
    <w:uiPriority w:val="99"/>
    <w:semiHidden/>
    <w:unhideWhenUsed/>
    <w:rsid w:val="00D42939"/>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D42939"/>
    <w:rPr>
      <w:rFonts w:cs="Times New Roman"/>
      <w:sz w:val="26"/>
      <w:szCs w:val="24"/>
      <w:lang w:val="es-ES" w:eastAsia="es-ES"/>
    </w:rPr>
  </w:style>
  <w:style w:type="paragraph" w:styleId="Textodeglobo">
    <w:name w:val="Balloon Text"/>
    <w:basedOn w:val="Normal"/>
    <w:link w:val="TextodegloboCar"/>
    <w:uiPriority w:val="99"/>
    <w:semiHidden/>
    <w:unhideWhenUsed/>
    <w:rsid w:val="00D4293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2939"/>
    <w:rPr>
      <w:rFonts w:ascii="Tahoma" w:hAnsi="Tahoma" w:cs="Tahoma"/>
      <w:sz w:val="16"/>
      <w:szCs w:val="16"/>
      <w:lang w:val="es-ES" w:eastAsia="es-ES"/>
    </w:rPr>
  </w:style>
  <w:style w:type="paragraph" w:styleId="Textonotapie">
    <w:name w:val="footnote text"/>
    <w:basedOn w:val="Normal"/>
    <w:link w:val="TextonotapieCar"/>
    <w:unhideWhenUsed/>
    <w:rsid w:val="0011121B"/>
    <w:pPr>
      <w:spacing w:line="240" w:lineRule="auto"/>
    </w:pPr>
    <w:rPr>
      <w:sz w:val="20"/>
      <w:szCs w:val="20"/>
    </w:rPr>
  </w:style>
  <w:style w:type="character" w:customStyle="1" w:styleId="TextonotapieCar">
    <w:name w:val="Texto nota pie Car"/>
    <w:basedOn w:val="Fuentedeprrafopredeter"/>
    <w:link w:val="Textonotapie"/>
    <w:rsid w:val="0011121B"/>
    <w:rPr>
      <w:rFonts w:cs="Times New Roman"/>
      <w:sz w:val="20"/>
      <w:szCs w:val="20"/>
      <w:lang w:val="es-ES" w:eastAsia="es-ES"/>
    </w:rPr>
  </w:style>
  <w:style w:type="character" w:styleId="Refdenotaalpie">
    <w:name w:val="footnote reference"/>
    <w:basedOn w:val="Fuentedeprrafopredeter"/>
    <w:unhideWhenUsed/>
    <w:rsid w:val="0011121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8</Pages>
  <Words>1961</Words>
  <Characters>10789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social</dc:creator>
  <cp:lastModifiedBy>FATIMA</cp:lastModifiedBy>
  <cp:revision>9</cp:revision>
  <cp:lastPrinted>2018-03-07T22:39:00Z</cp:lastPrinted>
  <dcterms:created xsi:type="dcterms:W3CDTF">2017-11-03T21:41:00Z</dcterms:created>
  <dcterms:modified xsi:type="dcterms:W3CDTF">2018-03-07T22:52:00Z</dcterms:modified>
</cp:coreProperties>
</file>